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80" w:rsidRPr="00E75632" w:rsidRDefault="00A70B6A" w:rsidP="00B1197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0B6A">
        <w:rPr>
          <w:rFonts w:ascii="Times New Roman" w:hAnsi="Times New Roman" w:cs="Times New Roman"/>
          <w:bCs/>
          <w:sz w:val="24"/>
          <w:szCs w:val="24"/>
        </w:rPr>
        <w:t xml:space="preserve">LOW TEMPERATURE ELECTRONIC RELAXATION TIME OF </w:t>
      </w:r>
      <w:r w:rsidR="00DE2C99">
        <w:rPr>
          <w:rFonts w:ascii="Times New Roman" w:hAnsi="Times New Roman" w:cs="Times New Roman"/>
          <w:bCs/>
          <w:sz w:val="24"/>
          <w:szCs w:val="24"/>
          <w:lang w:val="en-US"/>
        </w:rPr>
        <w:t>DOPED LAYERED</w:t>
      </w:r>
      <w:r w:rsidRPr="00A70B6A">
        <w:rPr>
          <w:rFonts w:ascii="Times New Roman" w:hAnsi="Times New Roman" w:cs="Times New Roman"/>
          <w:bCs/>
          <w:sz w:val="24"/>
          <w:szCs w:val="24"/>
        </w:rPr>
        <w:t xml:space="preserve"> CRYSTALS</w:t>
      </w:r>
      <w:r w:rsidR="00833E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3EA7">
        <w:rPr>
          <w:rFonts w:ascii="Times New Roman" w:hAnsi="Times New Roman" w:cs="Times New Roman"/>
          <w:bCs/>
          <w:sz w:val="24"/>
          <w:szCs w:val="24"/>
          <w:lang w:val="en-US"/>
        </w:rPr>
        <w:t>CdJ</w:t>
      </w:r>
      <w:proofErr w:type="spellEnd"/>
      <w:r w:rsidR="00833EA7" w:rsidRPr="00833EA7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</w:p>
    <w:p w:rsidR="00833EA7" w:rsidRPr="00833EA7" w:rsidRDefault="00B11974" w:rsidP="007D54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proofErr w:type="spellStart"/>
      <w:r w:rsidR="00A70B6A">
        <w:rPr>
          <w:rFonts w:ascii="Times New Roman" w:hAnsi="Times New Roman" w:cs="Times New Roman"/>
          <w:bCs/>
          <w:sz w:val="24"/>
          <w:szCs w:val="24"/>
          <w:lang w:val="en-US"/>
        </w:rPr>
        <w:t>Seredyuk</w:t>
      </w:r>
      <w:proofErr w:type="spellEnd"/>
      <w:r w:rsidR="00A70B6A" w:rsidRPr="00A7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B6A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A70B6A" w:rsidRPr="00A70B6A">
        <w:rPr>
          <w:rFonts w:ascii="Times New Roman" w:hAnsi="Times New Roman" w:cs="Times New Roman"/>
          <w:bCs/>
          <w:sz w:val="24"/>
          <w:szCs w:val="24"/>
        </w:rPr>
        <w:t>.</w:t>
      </w:r>
      <w:r w:rsidR="00A70B6A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="00A70B6A" w:rsidRPr="00A70B6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,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spellStart"/>
      <w:r w:rsidR="00A70B6A">
        <w:rPr>
          <w:rFonts w:ascii="Times New Roman" w:hAnsi="Times New Roman" w:cs="Times New Roman"/>
          <w:bCs/>
          <w:sz w:val="24"/>
          <w:szCs w:val="24"/>
          <w:lang w:val="en-US"/>
        </w:rPr>
        <w:t>Rudka</w:t>
      </w:r>
      <w:proofErr w:type="spellEnd"/>
      <w:r w:rsidR="00A70B6A" w:rsidRPr="00A70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0B6A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A70B6A" w:rsidRPr="00A70B6A">
        <w:rPr>
          <w:rFonts w:ascii="Times New Roman" w:hAnsi="Times New Roman" w:cs="Times New Roman"/>
          <w:bCs/>
          <w:sz w:val="24"/>
          <w:szCs w:val="24"/>
        </w:rPr>
        <w:t>.</w:t>
      </w:r>
      <w:r w:rsidR="00A70B6A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A70B6A" w:rsidRPr="00A70B6A">
        <w:rPr>
          <w:rFonts w:ascii="Times New Roman" w:hAnsi="Times New Roman" w:cs="Times New Roman"/>
          <w:bCs/>
          <w:sz w:val="24"/>
          <w:szCs w:val="24"/>
        </w:rPr>
        <w:t>.</w:t>
      </w:r>
      <w:r w:rsidR="00833EA7">
        <w:rPr>
          <w:rFonts w:ascii="Times New Roman" w:hAnsi="Times New Roman" w:cs="Times New Roman"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spellStart"/>
      <w:r w:rsidR="00A70B6A">
        <w:rPr>
          <w:rFonts w:ascii="Times New Roman" w:hAnsi="Times New Roman" w:cs="Times New Roman"/>
          <w:bCs/>
          <w:sz w:val="24"/>
          <w:szCs w:val="24"/>
          <w:lang w:val="en-US"/>
        </w:rPr>
        <w:t>Karkulowska</w:t>
      </w:r>
      <w:proofErr w:type="spellEnd"/>
      <w:r w:rsidR="00833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BD1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801BD1" w:rsidRPr="00801BD1">
        <w:rPr>
          <w:rFonts w:ascii="Times New Roman" w:hAnsi="Times New Roman" w:cs="Times New Roman"/>
          <w:bCs/>
          <w:sz w:val="24"/>
          <w:szCs w:val="24"/>
        </w:rPr>
        <w:t>.</w:t>
      </w:r>
      <w:r w:rsidR="00801BD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801BD1" w:rsidRPr="00801BD1">
        <w:rPr>
          <w:rFonts w:ascii="Times New Roman" w:hAnsi="Times New Roman" w:cs="Times New Roman"/>
          <w:bCs/>
          <w:sz w:val="24"/>
          <w:szCs w:val="24"/>
        </w:rPr>
        <w:t>.</w:t>
      </w:r>
      <w:r w:rsidR="00833E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proofErr w:type="spellStart"/>
      <w:r w:rsidR="00801BD1">
        <w:rPr>
          <w:rFonts w:ascii="Times New Roman" w:hAnsi="Times New Roman" w:cs="Times New Roman"/>
          <w:bCs/>
          <w:sz w:val="24"/>
          <w:szCs w:val="24"/>
          <w:lang w:val="en-US"/>
        </w:rPr>
        <w:t>Kravchuk</w:t>
      </w:r>
      <w:proofErr w:type="spellEnd"/>
      <w:r w:rsidR="00833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BD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801BD1" w:rsidRPr="00801BD1">
        <w:rPr>
          <w:rFonts w:ascii="Times New Roman" w:hAnsi="Times New Roman" w:cs="Times New Roman"/>
          <w:bCs/>
          <w:sz w:val="24"/>
          <w:szCs w:val="24"/>
        </w:rPr>
        <w:t>.</w:t>
      </w:r>
      <w:r w:rsidR="00801BD1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801BD1" w:rsidRPr="00801BD1">
        <w:rPr>
          <w:rFonts w:ascii="Times New Roman" w:hAnsi="Times New Roman" w:cs="Times New Roman"/>
          <w:bCs/>
          <w:sz w:val="24"/>
          <w:szCs w:val="24"/>
        </w:rPr>
        <w:t>.</w:t>
      </w:r>
    </w:p>
    <w:p w:rsidR="00EE5680" w:rsidRPr="007D545E" w:rsidRDefault="00B11974" w:rsidP="000814EF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833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4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Hetman Petro </w:t>
      </w:r>
      <w:proofErr w:type="spellStart"/>
      <w:r w:rsidR="007D545E">
        <w:rPr>
          <w:rFonts w:ascii="Times New Roman" w:hAnsi="Times New Roman" w:cs="Times New Roman"/>
          <w:bCs/>
          <w:sz w:val="24"/>
          <w:szCs w:val="24"/>
          <w:lang w:val="en-US"/>
        </w:rPr>
        <w:t>Sahaidachnyi</w:t>
      </w:r>
      <w:proofErr w:type="spellEnd"/>
      <w:r w:rsidR="007D545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National Academy of Land Forces, Faculty of Rocket Troops and Artillery</w:t>
      </w:r>
    </w:p>
    <w:p w:rsidR="007D545E" w:rsidRPr="007D545E" w:rsidRDefault="000814EF" w:rsidP="007D545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7D54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Start"/>
      <w:r w:rsidR="007D545E" w:rsidRPr="007D545E">
        <w:rPr>
          <w:rFonts w:ascii="Times New Roman" w:hAnsi="Times New Roman" w:cs="Times New Roman"/>
          <w:sz w:val="24"/>
          <w:szCs w:val="24"/>
          <w:lang w:val="en-US"/>
        </w:rPr>
        <w:t>Lviv</w:t>
      </w:r>
      <w:proofErr w:type="spellEnd"/>
      <w:r w:rsidR="007D545E" w:rsidRPr="007D5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45E" w:rsidRPr="007D545E">
        <w:rPr>
          <w:rFonts w:ascii="Times New Roman" w:hAnsi="Times New Roman" w:cs="Times New Roman"/>
          <w:sz w:val="24"/>
          <w:szCs w:val="24"/>
          <w:lang w:val="en-US"/>
        </w:rPr>
        <w:t>Polytechnic</w:t>
      </w:r>
      <w:r w:rsidR="007D545E" w:rsidRPr="007D545E">
        <w:rPr>
          <w:rFonts w:ascii="Times New Roman" w:hAnsi="Times New Roman" w:cs="Times New Roman"/>
          <w:sz w:val="24"/>
          <w:szCs w:val="24"/>
          <w:lang w:val="en-US"/>
        </w:rPr>
        <w:t xml:space="preserve"> National University</w:t>
      </w:r>
      <w:r w:rsidR="007D54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D545E" w:rsidRPr="007D545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Institute</w:t>
      </w:r>
      <w:proofErr w:type="spellEnd"/>
      <w:r w:rsidR="007D545E" w:rsidRPr="007D545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of</w:t>
      </w:r>
      <w:proofErr w:type="spellEnd"/>
      <w:r w:rsidR="007D545E" w:rsidRPr="007D545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Applied</w:t>
      </w:r>
      <w:proofErr w:type="spellEnd"/>
      <w:r w:rsidR="007D545E" w:rsidRPr="007D545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Mathematics</w:t>
      </w:r>
      <w:proofErr w:type="spellEnd"/>
      <w:r w:rsidR="007D545E" w:rsidRPr="007D545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and</w:t>
      </w:r>
      <w:proofErr w:type="spellEnd"/>
      <w:r w:rsidR="007D545E" w:rsidRPr="007D545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Fundamental</w:t>
      </w:r>
      <w:proofErr w:type="spellEnd"/>
      <w:r w:rsidR="007D545E" w:rsidRPr="007D545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Sciences</w:t>
      </w:r>
      <w:proofErr w:type="spellEnd"/>
    </w:p>
    <w:p w:rsidR="000814EF" w:rsidRDefault="000814EF" w:rsidP="000814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43F" w:rsidRPr="00AC543F" w:rsidRDefault="00801BD1" w:rsidP="00113AC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electronic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relaxation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time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CdJ</w:t>
      </w:r>
      <w:proofErr w:type="spellEnd"/>
      <w:r w:rsidRPr="00B1197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crystals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doped</w:t>
      </w:r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by</w:t>
      </w:r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Cu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averaged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over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charge</w:t>
      </w:r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carriers</w:t>
      </w:r>
      <w:r w:rsidRPr="00801B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which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undergo</w:t>
      </w:r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processes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collision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probability</w:t>
      </w:r>
      <w:proofErr w:type="spellEnd"/>
      <w:r w:rsidR="00EE5680" w:rsidRPr="00113A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833EA7" w:rsidRPr="00113ACB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  <w:sym w:font="Symbol" w:char="F074"/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sub>
            </m:sSub>
          </m:den>
        </m:f>
      </m:oMath>
      <w:r w:rsidR="00EE5680" w:rsidRPr="00113A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studied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this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EE5680" w:rsidRPr="00113A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Theoretical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calculations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performed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by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Green's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function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method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based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Fermi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golden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rule</w:t>
      </w:r>
      <w:proofErr w:type="spellEnd"/>
      <w:r w:rsidR="00EE5680" w:rsidRPr="00113AC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where</w:t>
      </w:r>
      <w:r w:rsidR="00EE5680" w:rsidRPr="00113ACB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Г</m:t>
        </m:r>
        <m:d>
          <m:d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</m:acc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type m:val="skw"/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ħ</m:t>
            </m:r>
          </m:num>
          <m:den>
            <m:r>
              <w:rPr>
                <w:rFonts w:ascii="Cambria Math" w:hAnsi="Times New Roman" w:cs="Times New Roman"/>
                <w:bCs/>
                <w:i/>
                <w:sz w:val="24"/>
                <w:szCs w:val="24"/>
                <w:lang w:val="en-US"/>
              </w:rPr>
              <w:sym w:font="Symbol" w:char="F074"/>
            </m:r>
          </m:den>
        </m:f>
      </m:oMath>
      <w:r w:rsidR="0054786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EE5680" w:rsidRPr="00113A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8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alculations</w:t>
      </w:r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are</w:t>
      </w:r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carried</w:t>
      </w:r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out</w:t>
      </w:r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scattering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free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carriers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conduction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band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effective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Coulomb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potential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54786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</w:t>
      </w:r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impurity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Yukawa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bCs/>
          <w:sz w:val="24"/>
          <w:szCs w:val="24"/>
        </w:rPr>
        <w:t>potential</w:t>
      </w:r>
      <w:proofErr w:type="spellEnd"/>
      <w:r w:rsidRPr="00801BD1">
        <w:rPr>
          <w:rFonts w:ascii="Times New Roman" w:hAnsi="Times New Roman" w:cs="Times New Roman"/>
          <w:bCs/>
          <w:sz w:val="24"/>
          <w:szCs w:val="24"/>
        </w:rPr>
        <w:t>)</w:t>
      </w:r>
      <w:r w:rsidR="00113ACB" w:rsidRPr="00113AC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layered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crystal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orthogonal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symmetry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layers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XOY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plane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zone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spectrum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electrons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conduction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band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r w:rsidR="00C07233">
        <w:rPr>
          <w:rFonts w:ascii="Times New Roman" w:hAnsi="Times New Roman" w:cs="Times New Roman"/>
          <w:sz w:val="24"/>
          <w:szCs w:val="24"/>
          <w:lang w:val="en-US"/>
        </w:rPr>
        <w:t>given by</w:t>
      </w:r>
      <w:r w:rsidRPr="00801BD1">
        <w:rPr>
          <w:rFonts w:ascii="Times New Roman" w:hAnsi="Times New Roman" w:cs="Times New Roman"/>
          <w:sz w:val="24"/>
          <w:szCs w:val="24"/>
        </w:rPr>
        <w:t xml:space="preserve"> [1]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approximation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describing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electrons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plane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XOY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layers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coupling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7233">
        <w:rPr>
          <w:rFonts w:ascii="Times New Roman" w:hAnsi="Times New Roman" w:cs="Times New Roman"/>
          <w:sz w:val="24"/>
          <w:szCs w:val="24"/>
          <w:lang w:val="en-US"/>
        </w:rPr>
        <w:t xml:space="preserve"> direction perpendicular to XOY layers</w:t>
      </w:r>
      <w:r w:rsidRPr="00801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justified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bond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crystallographic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directions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B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801BD1">
        <w:rPr>
          <w:rFonts w:ascii="Times New Roman" w:hAnsi="Times New Roman" w:cs="Times New Roman"/>
          <w:sz w:val="24"/>
          <w:szCs w:val="24"/>
        </w:rPr>
        <w:t>layered</w:t>
      </w:r>
      <w:proofErr w:type="spellEnd"/>
      <w:r w:rsidR="00C07233" w:rsidRPr="0080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801BD1">
        <w:rPr>
          <w:rFonts w:ascii="Times New Roman" w:hAnsi="Times New Roman" w:cs="Times New Roman"/>
          <w:sz w:val="24"/>
          <w:szCs w:val="24"/>
        </w:rPr>
        <w:t>crystal</w:t>
      </w:r>
      <w:proofErr w:type="spellEnd"/>
      <w:r w:rsidRPr="00801BD1">
        <w:rPr>
          <w:rFonts w:ascii="Times New Roman" w:hAnsi="Times New Roman" w:cs="Times New Roman"/>
          <w:sz w:val="24"/>
          <w:szCs w:val="24"/>
        </w:rPr>
        <w:t>.</w:t>
      </w:r>
      <w:r w:rsidR="00113A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anisotropy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r w:rsidR="00C07233">
        <w:rPr>
          <w:rFonts w:ascii="Times New Roman" w:hAnsi="Times New Roman" w:cs="Times New Roman"/>
          <w:sz w:val="24"/>
          <w:szCs w:val="24"/>
          <w:lang w:val="en-US"/>
        </w:rPr>
        <w:t>layered</w:t>
      </w:r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r w:rsidR="00C07233">
        <w:rPr>
          <w:rFonts w:ascii="Times New Roman" w:hAnsi="Times New Roman" w:cs="Times New Roman"/>
          <w:sz w:val="24"/>
          <w:szCs w:val="24"/>
          <w:lang w:val="en-US"/>
        </w:rPr>
        <w:t>crystal</w:t>
      </w:r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r w:rsidR="00547867">
        <w:rPr>
          <w:rFonts w:ascii="Times New Roman" w:hAnsi="Times New Roman" w:cs="Times New Roman"/>
          <w:sz w:val="24"/>
          <w:szCs w:val="24"/>
          <w:lang w:val="en-US"/>
        </w:rPr>
        <w:t>of t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electron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mixing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plane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layer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r w:rsidR="00C0723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r w:rsidR="00C0723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r w:rsidR="00C07233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layers</w:t>
      </w:r>
      <w:proofErr w:type="spellEnd"/>
      <w:r w:rsidR="00113ACB">
        <w:rPr>
          <w:rFonts w:ascii="Times New Roman" w:hAnsi="Times New Roman" w:cs="Times New Roman"/>
          <w:sz w:val="24"/>
          <w:szCs w:val="24"/>
        </w:rPr>
        <w:t xml:space="preserve"> </w:t>
      </w:r>
      <w:r w:rsidR="00113ACB" w:rsidRPr="00113ACB">
        <w:rPr>
          <w:rFonts w:ascii="Times New Roman" w:hAnsi="Times New Roman" w:cs="Times New Roman"/>
          <w:i/>
          <w:sz w:val="24"/>
          <w:szCs w:val="24"/>
        </w:rPr>
        <w:t>(</w:t>
      </w:r>
      <w:r w:rsidR="00113ACB" w:rsidRPr="00113ACB">
        <w:rPr>
          <w:rFonts w:ascii="Times New Roman" w:hAnsi="Times New Roman" w:cs="Times New Roman"/>
          <w:i/>
          <w:sz w:val="24"/>
          <w:szCs w:val="24"/>
        </w:rPr>
        <w:sym w:font="Symbol" w:char="F061"/>
      </w:r>
      <w:r w:rsidR="00113ACB" w:rsidRPr="00113ACB">
        <w:rPr>
          <w:rFonts w:ascii="Times New Roman" w:hAnsi="Times New Roman" w:cs="Times New Roman"/>
          <w:i/>
          <w:sz w:val="24"/>
          <w:szCs w:val="24"/>
        </w:rPr>
        <w:t>/</w:t>
      </w:r>
      <w:r w:rsidR="00113ACB" w:rsidRPr="00113ACB">
        <w:rPr>
          <w:rFonts w:ascii="Times New Roman" w:hAnsi="Times New Roman" w:cs="Times New Roman"/>
          <w:i/>
          <w:sz w:val="24"/>
          <w:szCs w:val="24"/>
        </w:rPr>
        <w:sym w:font="Symbol" w:char="F074"/>
      </w:r>
      <w:r w:rsidR="00113ACB" w:rsidRPr="00113ACB">
        <w:rPr>
          <w:rFonts w:ascii="Times New Roman" w:hAnsi="Times New Roman" w:cs="Times New Roman"/>
          <w:i/>
          <w:sz w:val="24"/>
          <w:szCs w:val="24"/>
        </w:rPr>
        <w:t>)</w:t>
      </w:r>
      <w:r w:rsidR="00AC4937" w:rsidRPr="00AC4937">
        <w:rPr>
          <w:rFonts w:ascii="Times New Roman" w:hAnsi="Times New Roman" w:cs="Times New Roman"/>
          <w:sz w:val="24"/>
          <w:szCs w:val="24"/>
        </w:rPr>
        <w:t>.</w:t>
      </w:r>
      <w:r w:rsidR="007D5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07233" w:rsidRPr="00801BD1">
        <w:rPr>
          <w:rFonts w:ascii="Times New Roman" w:hAnsi="Times New Roman" w:cs="Times New Roman"/>
          <w:bCs/>
          <w:sz w:val="24"/>
          <w:szCs w:val="24"/>
        </w:rPr>
        <w:t>Theoretical</w:t>
      </w:r>
      <w:proofErr w:type="spellEnd"/>
      <w:r w:rsidR="00C07233"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7233" w:rsidRPr="00801BD1">
        <w:rPr>
          <w:rFonts w:ascii="Times New Roman" w:hAnsi="Times New Roman" w:cs="Times New Roman"/>
          <w:bCs/>
          <w:sz w:val="24"/>
          <w:szCs w:val="24"/>
        </w:rPr>
        <w:t>calculations</w:t>
      </w:r>
      <w:proofErr w:type="spellEnd"/>
      <w:r w:rsidR="00C07233" w:rsidRPr="00C07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7233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C07233" w:rsidRPr="00C072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7233" w:rsidRPr="00801BD1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C07233"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7233" w:rsidRPr="00801BD1">
        <w:rPr>
          <w:rFonts w:ascii="Times New Roman" w:hAnsi="Times New Roman" w:cs="Times New Roman"/>
          <w:bCs/>
          <w:sz w:val="24"/>
          <w:szCs w:val="24"/>
        </w:rPr>
        <w:t>Green's</w:t>
      </w:r>
      <w:proofErr w:type="spellEnd"/>
      <w:r w:rsidR="00C07233"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7233" w:rsidRPr="00801BD1">
        <w:rPr>
          <w:rFonts w:ascii="Times New Roman" w:hAnsi="Times New Roman" w:cs="Times New Roman"/>
          <w:bCs/>
          <w:sz w:val="24"/>
          <w:szCs w:val="24"/>
        </w:rPr>
        <w:t>function</w:t>
      </w:r>
      <w:proofErr w:type="spellEnd"/>
      <w:r w:rsidR="00C07233" w:rsidRPr="0080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EA7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Г</m:t>
        </m:r>
        <m:d>
          <m:d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e>
            </m:acc>
          </m:e>
        </m:d>
      </m:oMath>
      <w:r w:rsidR="00833EA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C07233" w:rsidRPr="00C07233">
        <w:rPr>
          <w:rFonts w:ascii="Times New Roman" w:hAnsi="Times New Roman" w:cs="Times New Roman"/>
          <w:bCs/>
          <w:sz w:val="24"/>
          <w:szCs w:val="24"/>
        </w:rPr>
        <w:t>carried</w:t>
      </w:r>
      <w:proofErr w:type="spellEnd"/>
      <w:r w:rsidR="00C07233" w:rsidRPr="00C072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bCs/>
          <w:sz w:val="24"/>
          <w:szCs w:val="24"/>
        </w:rPr>
        <w:t>out</w:t>
      </w:r>
      <w:proofErr w:type="spellEnd"/>
      <w:r w:rsidR="00C07233" w:rsidRPr="00C072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bCs/>
          <w:sz w:val="24"/>
          <w:szCs w:val="24"/>
        </w:rPr>
        <w:t>depending</w:t>
      </w:r>
      <w:proofErr w:type="spellEnd"/>
      <w:r w:rsidR="00C07233" w:rsidRPr="00C072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="00C07233" w:rsidRPr="00C072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C07233" w:rsidRPr="00C072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bCs/>
          <w:sz w:val="24"/>
          <w:szCs w:val="24"/>
        </w:rPr>
        <w:t>degree</w:t>
      </w:r>
      <w:proofErr w:type="spellEnd"/>
      <w:r w:rsidR="00C07233" w:rsidRPr="00C072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C07233" w:rsidRPr="00C072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bCs/>
          <w:sz w:val="24"/>
          <w:szCs w:val="24"/>
        </w:rPr>
        <w:t>anisotropy</w:t>
      </w:r>
      <w:proofErr w:type="spellEnd"/>
      <w:r w:rsidR="00C07233" w:rsidRPr="00C072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EA7" w:rsidRPr="00113ACB">
        <w:rPr>
          <w:rFonts w:ascii="Times New Roman" w:hAnsi="Times New Roman" w:cs="Times New Roman"/>
          <w:i/>
          <w:sz w:val="24"/>
          <w:szCs w:val="24"/>
        </w:rPr>
        <w:t>(</w:t>
      </w:r>
      <w:r w:rsidR="00833EA7" w:rsidRPr="00113ACB">
        <w:rPr>
          <w:rFonts w:ascii="Times New Roman" w:hAnsi="Times New Roman" w:cs="Times New Roman"/>
          <w:i/>
          <w:sz w:val="24"/>
          <w:szCs w:val="24"/>
        </w:rPr>
        <w:sym w:font="Symbol" w:char="F061"/>
      </w:r>
      <w:r w:rsidR="00833EA7" w:rsidRPr="00113ACB">
        <w:rPr>
          <w:rFonts w:ascii="Times New Roman" w:hAnsi="Times New Roman" w:cs="Times New Roman"/>
          <w:i/>
          <w:sz w:val="24"/>
          <w:szCs w:val="24"/>
        </w:rPr>
        <w:t>/</w:t>
      </w:r>
      <w:r w:rsidR="00833EA7" w:rsidRPr="00113ACB">
        <w:rPr>
          <w:rFonts w:ascii="Times New Roman" w:hAnsi="Times New Roman" w:cs="Times New Roman"/>
          <w:i/>
          <w:sz w:val="24"/>
          <w:szCs w:val="24"/>
        </w:rPr>
        <w:sym w:font="Symbol" w:char="F074"/>
      </w:r>
      <w:r w:rsidR="00833EA7" w:rsidRPr="00113ACB">
        <w:rPr>
          <w:rFonts w:ascii="Times New Roman" w:hAnsi="Times New Roman" w:cs="Times New Roman"/>
          <w:i/>
          <w:sz w:val="24"/>
          <w:szCs w:val="24"/>
        </w:rPr>
        <w:t>)</w:t>
      </w:r>
      <w:r w:rsidR="00833EA7">
        <w:rPr>
          <w:rFonts w:ascii="Times New Roman" w:hAnsi="Times New Roman" w:cs="Times New Roman"/>
          <w:sz w:val="24"/>
          <w:szCs w:val="24"/>
        </w:rPr>
        <w:t xml:space="preserve">  </w:t>
      </w:r>
      <w:r w:rsidR="00C07233">
        <w:rPr>
          <w:rFonts w:ascii="Times New Roman" w:hAnsi="Times New Roman" w:cs="Times New Roman"/>
          <w:sz w:val="24"/>
          <w:szCs w:val="24"/>
          <w:lang w:val="en-US"/>
        </w:rPr>
        <w:t>as well as</w:t>
      </w:r>
      <w:r w:rsidR="00833E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Yukawa's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shielding</w:t>
      </w:r>
      <w:proofErr w:type="spellEnd"/>
      <w:r w:rsidR="00C07233" w:rsidRPr="00C0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233" w:rsidRPr="00C07233">
        <w:rPr>
          <w:rFonts w:ascii="Times New Roman" w:hAnsi="Times New Roman" w:cs="Times New Roman"/>
          <w:sz w:val="24"/>
          <w:szCs w:val="24"/>
        </w:rPr>
        <w:t>radius</w:t>
      </w:r>
      <w:proofErr w:type="spellEnd"/>
      <w:r w:rsidR="00833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EA7" w:rsidRPr="00833EA7">
        <w:rPr>
          <w:rFonts w:ascii="Times New Roman" w:hAnsi="Times New Roman" w:cs="Times New Roman"/>
          <w:bCs/>
          <w:i/>
          <w:sz w:val="24"/>
          <w:szCs w:val="24"/>
          <w:lang w:val="en-US"/>
        </w:rPr>
        <w:t>k</w:t>
      </w:r>
      <w:r w:rsidR="00833EA7" w:rsidRPr="00833EA7">
        <w:rPr>
          <w:rFonts w:ascii="Times New Roman" w:hAnsi="Times New Roman" w:cs="Times New Roman"/>
          <w:bCs/>
          <w:i/>
          <w:sz w:val="20"/>
          <w:szCs w:val="20"/>
          <w:vertAlign w:val="subscript"/>
        </w:rPr>
        <w:t>0</w:t>
      </w:r>
      <w:r w:rsidR="00AC54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are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compared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th</w:t>
      </w:r>
      <w:proofErr w:type="spellEnd"/>
      <w:r w:rsidR="00547867">
        <w:rPr>
          <w:rFonts w:ascii="Times New Roman" w:hAnsi="Times New Roman" w:cs="Times New Roman"/>
          <w:bCs/>
          <w:sz w:val="24"/>
          <w:szCs w:val="24"/>
          <w:lang w:val="en-US"/>
        </w:rPr>
        <w:t>e ones</w:t>
      </w:r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calculated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basis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experimental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data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kinetics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photoluminescence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photoconductivity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="007D545E" w:rsidRPr="007D54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D545E" w:rsidRPr="007D545E">
        <w:rPr>
          <w:rFonts w:ascii="Times New Roman" w:hAnsi="Times New Roman" w:cs="Times New Roman"/>
          <w:bCs/>
          <w:sz w:val="24"/>
          <w:szCs w:val="24"/>
        </w:rPr>
        <w:t>pure</w:t>
      </w:r>
      <w:proofErr w:type="spellEnd"/>
      <w:r w:rsidR="00AC54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43F">
        <w:rPr>
          <w:rFonts w:ascii="Times New Roman" w:hAnsi="Times New Roman" w:cs="Times New Roman"/>
          <w:bCs/>
          <w:sz w:val="24"/>
          <w:szCs w:val="24"/>
          <w:lang w:val="en-US"/>
        </w:rPr>
        <w:t>CdJ</w:t>
      </w:r>
      <w:proofErr w:type="spellEnd"/>
      <w:r w:rsidR="00AC543F" w:rsidRPr="00AC543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AC5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45E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="00AC54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43F">
        <w:rPr>
          <w:rFonts w:ascii="Times New Roman" w:hAnsi="Times New Roman" w:cs="Times New Roman"/>
          <w:bCs/>
          <w:sz w:val="24"/>
          <w:szCs w:val="24"/>
          <w:lang w:val="en-US"/>
        </w:rPr>
        <w:t>CdJ</w:t>
      </w:r>
      <w:proofErr w:type="spellEnd"/>
      <w:r w:rsidR="00AC543F" w:rsidRPr="00AC543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AC543F" w:rsidRPr="00AC543F">
        <w:rPr>
          <w:rFonts w:ascii="Times New Roman" w:hAnsi="Times New Roman" w:cs="Times New Roman"/>
          <w:bCs/>
          <w:sz w:val="24"/>
          <w:szCs w:val="24"/>
        </w:rPr>
        <w:t>:</w:t>
      </w:r>
      <w:r w:rsidR="00AC543F">
        <w:rPr>
          <w:rFonts w:ascii="Times New Roman" w:hAnsi="Times New Roman" w:cs="Times New Roman"/>
          <w:bCs/>
          <w:sz w:val="24"/>
          <w:szCs w:val="24"/>
          <w:lang w:val="en-US"/>
        </w:rPr>
        <w:t>Cu</w:t>
      </w:r>
      <w:r w:rsidR="00AC543F" w:rsidRPr="00AC543F">
        <w:rPr>
          <w:rFonts w:ascii="Times New Roman" w:hAnsi="Times New Roman" w:cs="Times New Roman"/>
          <w:bCs/>
          <w:sz w:val="24"/>
          <w:szCs w:val="24"/>
        </w:rPr>
        <w:t xml:space="preserve"> [2].</w:t>
      </w:r>
    </w:p>
    <w:p w:rsidR="00EE5680" w:rsidRPr="00113ACB" w:rsidRDefault="00EE5680" w:rsidP="00EE56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5632" w:rsidRPr="00B11974" w:rsidRDefault="00E75632" w:rsidP="00E75632">
      <w:pPr>
        <w:pStyle w:val="a3"/>
        <w:numPr>
          <w:ilvl w:val="0"/>
          <w:numId w:val="2"/>
        </w:numPr>
        <w:shd w:val="clear" w:color="auto" w:fill="FFFFFF"/>
        <w:spacing w:line="408" w:lineRule="auto"/>
        <w:jc w:val="both"/>
        <w:rPr>
          <w:lang w:val="en-US"/>
        </w:rPr>
      </w:pPr>
      <w:proofErr w:type="spellStart"/>
      <w:r w:rsidRPr="00E75632">
        <w:t>Fivaz</w:t>
      </w:r>
      <w:proofErr w:type="spellEnd"/>
      <w:r w:rsidRPr="00E75632">
        <w:t xml:space="preserve"> R.F. </w:t>
      </w:r>
      <w:proofErr w:type="spellStart"/>
      <w:r w:rsidRPr="00E75632">
        <w:t>Theory</w:t>
      </w:r>
      <w:proofErr w:type="spellEnd"/>
      <w:r w:rsidRPr="00E75632">
        <w:t xml:space="preserve"> </w:t>
      </w:r>
      <w:proofErr w:type="spellStart"/>
      <w:r w:rsidRPr="00E75632">
        <w:t>of</w:t>
      </w:r>
      <w:proofErr w:type="spellEnd"/>
      <w:r w:rsidRPr="00E75632">
        <w:t xml:space="preserve"> </w:t>
      </w:r>
      <w:proofErr w:type="spellStart"/>
      <w:r w:rsidRPr="00E75632">
        <w:t>layer</w:t>
      </w:r>
      <w:proofErr w:type="spellEnd"/>
      <w:r w:rsidRPr="00E75632">
        <w:t xml:space="preserve"> </w:t>
      </w:r>
      <w:proofErr w:type="spellStart"/>
      <w:r w:rsidRPr="00E75632">
        <w:t>structures</w:t>
      </w:r>
      <w:proofErr w:type="spellEnd"/>
      <w:r w:rsidRPr="00E75632">
        <w:rPr>
          <w:lang w:val="en-US"/>
        </w:rPr>
        <w:t xml:space="preserve"> </w:t>
      </w:r>
      <w:r w:rsidRPr="00E75632">
        <w:t>J.</w:t>
      </w:r>
      <w:r w:rsidRPr="00E75632">
        <w:rPr>
          <w:lang w:val="en-US"/>
        </w:rPr>
        <w:t xml:space="preserve"> </w:t>
      </w:r>
      <w:proofErr w:type="spellStart"/>
      <w:r w:rsidRPr="00E75632">
        <w:t>Phys</w:t>
      </w:r>
      <w:proofErr w:type="spellEnd"/>
      <w:r w:rsidRPr="00E75632">
        <w:t>.</w:t>
      </w:r>
      <w:r w:rsidRPr="00E75632">
        <w:rPr>
          <w:lang w:val="en-US"/>
        </w:rPr>
        <w:t xml:space="preserve"> </w:t>
      </w:r>
      <w:proofErr w:type="spellStart"/>
      <w:r w:rsidRPr="00E75632">
        <w:t>Chem</w:t>
      </w:r>
      <w:proofErr w:type="spellEnd"/>
      <w:r w:rsidRPr="00E75632">
        <w:t xml:space="preserve">. </w:t>
      </w:r>
      <w:proofErr w:type="spellStart"/>
      <w:r w:rsidRPr="00E75632">
        <w:t>Solids</w:t>
      </w:r>
      <w:proofErr w:type="spellEnd"/>
      <w:r w:rsidRPr="00E75632">
        <w:t>.</w:t>
      </w:r>
      <w:r w:rsidRPr="00E75632">
        <w:rPr>
          <w:lang w:val="en-US"/>
        </w:rPr>
        <w:t xml:space="preserve"> –</w:t>
      </w:r>
      <w:r w:rsidRPr="00E75632">
        <w:t xml:space="preserve"> 1967.</w:t>
      </w:r>
      <w:r w:rsidRPr="00E75632">
        <w:rPr>
          <w:lang w:val="en-US"/>
        </w:rPr>
        <w:t xml:space="preserve"> –</w:t>
      </w:r>
      <w:r w:rsidRPr="00E75632">
        <w:t xml:space="preserve"> </w:t>
      </w:r>
      <w:r w:rsidRPr="00E75632">
        <w:rPr>
          <w:lang w:val="en-US"/>
        </w:rPr>
        <w:t>Vol.</w:t>
      </w:r>
      <w:r w:rsidRPr="00E75632">
        <w:t xml:space="preserve">28, </w:t>
      </w:r>
      <w:r w:rsidRPr="00E75632">
        <w:rPr>
          <w:lang w:val="en-US"/>
        </w:rPr>
        <w:t>№</w:t>
      </w:r>
      <w:r w:rsidRPr="00E75632">
        <w:t xml:space="preserve">4. </w:t>
      </w:r>
      <w:r w:rsidRPr="00E75632">
        <w:rPr>
          <w:lang w:val="en-US"/>
        </w:rPr>
        <w:t>–</w:t>
      </w:r>
      <w:r w:rsidRPr="00E75632">
        <w:t xml:space="preserve"> P.</w:t>
      </w:r>
      <w:r w:rsidRPr="00E75632">
        <w:rPr>
          <w:lang w:val="en-US"/>
        </w:rPr>
        <w:t xml:space="preserve"> </w:t>
      </w:r>
      <w:r w:rsidRPr="00E75632">
        <w:t>839</w:t>
      </w:r>
      <w:r w:rsidRPr="00E75632">
        <w:rPr>
          <w:lang w:val="en-US"/>
        </w:rPr>
        <w:t xml:space="preserve"> – </w:t>
      </w:r>
      <w:r w:rsidRPr="00E75632">
        <w:t>852.</w:t>
      </w:r>
    </w:p>
    <w:p w:rsidR="00B11974" w:rsidRPr="00E75632" w:rsidRDefault="00B11974" w:rsidP="00E75632">
      <w:pPr>
        <w:pStyle w:val="a3"/>
        <w:numPr>
          <w:ilvl w:val="0"/>
          <w:numId w:val="2"/>
        </w:numPr>
        <w:shd w:val="clear" w:color="auto" w:fill="FFFFFF"/>
        <w:spacing w:line="408" w:lineRule="auto"/>
        <w:jc w:val="both"/>
        <w:rPr>
          <w:lang w:val="en-US"/>
        </w:rPr>
      </w:pPr>
      <w:r>
        <w:rPr>
          <w:lang w:val="en-US"/>
        </w:rPr>
        <w:t xml:space="preserve">N.N. </w:t>
      </w:r>
      <w:proofErr w:type="spellStart"/>
      <w:r>
        <w:rPr>
          <w:lang w:val="en-US"/>
        </w:rPr>
        <w:t>Rudka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Visnyk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Natzionalnoho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universytetu</w:t>
      </w:r>
      <w:proofErr w:type="spellEnd"/>
      <w:r>
        <w:rPr>
          <w:lang w:val="en-US"/>
        </w:rPr>
        <w:t xml:space="preserve"> “</w:t>
      </w:r>
      <w:proofErr w:type="spellStart"/>
      <w:proofErr w:type="gramStart"/>
      <w:r>
        <w:rPr>
          <w:lang w:val="en-US"/>
        </w:rPr>
        <w:t>Lvivska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Politekhnika</w:t>
      </w:r>
      <w:proofErr w:type="spellEnd"/>
      <w:proofErr w:type="gramEnd"/>
      <w:r>
        <w:rPr>
          <w:lang w:val="en-US"/>
        </w:rPr>
        <w:t>”, 2019, Vyp.687 P.181-187. (in Ukraine)</w:t>
      </w:r>
    </w:p>
    <w:p w:rsidR="00FD1AA2" w:rsidRPr="00113ACB" w:rsidRDefault="00FD1AA2">
      <w:pPr>
        <w:rPr>
          <w:rFonts w:ascii="Times New Roman" w:hAnsi="Times New Roman" w:cs="Times New Roman"/>
          <w:sz w:val="24"/>
          <w:szCs w:val="24"/>
        </w:rPr>
      </w:pPr>
    </w:p>
    <w:sectPr w:rsidR="00FD1AA2" w:rsidRPr="00113ACB" w:rsidSect="00FD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1BF"/>
    <w:multiLevelType w:val="hybridMultilevel"/>
    <w:tmpl w:val="AFBEACBE"/>
    <w:lvl w:ilvl="0" w:tplc="982C6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8A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27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021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8D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E4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767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4E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6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310E60"/>
    <w:multiLevelType w:val="hybridMultilevel"/>
    <w:tmpl w:val="1B78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80"/>
    <w:rsid w:val="000814EF"/>
    <w:rsid w:val="00113ACB"/>
    <w:rsid w:val="00521A02"/>
    <w:rsid w:val="00547867"/>
    <w:rsid w:val="007D545E"/>
    <w:rsid w:val="00801BD1"/>
    <w:rsid w:val="00833EA7"/>
    <w:rsid w:val="00903602"/>
    <w:rsid w:val="00A70B6A"/>
    <w:rsid w:val="00AC4937"/>
    <w:rsid w:val="00AC543F"/>
    <w:rsid w:val="00B11974"/>
    <w:rsid w:val="00C07233"/>
    <w:rsid w:val="00DE2C99"/>
    <w:rsid w:val="00DF39A2"/>
    <w:rsid w:val="00E75632"/>
    <w:rsid w:val="00EE5680"/>
    <w:rsid w:val="00F93B58"/>
    <w:rsid w:val="00FD0BCC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568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E568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D545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568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E568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D545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4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Galya</cp:lastModifiedBy>
  <cp:revision>4</cp:revision>
  <dcterms:created xsi:type="dcterms:W3CDTF">2019-05-14T18:13:00Z</dcterms:created>
  <dcterms:modified xsi:type="dcterms:W3CDTF">2019-05-14T19:07:00Z</dcterms:modified>
</cp:coreProperties>
</file>