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54" w:rsidRDefault="00295A54" w:rsidP="00BF10E4">
      <w:pPr>
        <w:spacing w:after="0" w:line="240" w:lineRule="auto"/>
        <w:jc w:val="center"/>
        <w:rPr>
          <w:rFonts w:ascii="Times New Roman" w:hAnsi="Times New Roman" w:cs="Times New Roman"/>
          <w:b/>
          <w:bCs/>
          <w:lang w:val="en-US"/>
        </w:rPr>
      </w:pPr>
      <w:bookmarkStart w:id="0" w:name="_GoBack"/>
      <w:bookmarkEnd w:id="0"/>
      <w:proofErr w:type="spellStart"/>
      <w:r w:rsidRPr="00295A54">
        <w:rPr>
          <w:rFonts w:ascii="Times New Roman" w:hAnsi="Times New Roman" w:cs="Times New Roman"/>
          <w:b/>
          <w:bCs/>
          <w:lang w:val="en-US"/>
        </w:rPr>
        <w:t>Nanocomposites</w:t>
      </w:r>
      <w:proofErr w:type="spellEnd"/>
      <w:r w:rsidRPr="00BF10E4">
        <w:rPr>
          <w:rFonts w:ascii="Times New Roman" w:hAnsi="Times New Roman" w:cs="Times New Roman"/>
          <w:b/>
          <w:bCs/>
          <w:lang w:val="en-US"/>
        </w:rPr>
        <w:t xml:space="preserve"> </w:t>
      </w:r>
      <w:r w:rsidRPr="00295A54">
        <w:rPr>
          <w:rFonts w:ascii="Times New Roman" w:hAnsi="Times New Roman" w:cs="Times New Roman"/>
          <w:b/>
          <w:bCs/>
          <w:lang w:val="en-US"/>
        </w:rPr>
        <w:t>and</w:t>
      </w:r>
      <w:r w:rsidRPr="00BF10E4">
        <w:rPr>
          <w:rFonts w:ascii="Times New Roman" w:hAnsi="Times New Roman" w:cs="Times New Roman"/>
          <w:b/>
          <w:bCs/>
          <w:lang w:val="en-US"/>
        </w:rPr>
        <w:t xml:space="preserve"> </w:t>
      </w:r>
      <w:proofErr w:type="spellStart"/>
      <w:r w:rsidRPr="00295A54">
        <w:rPr>
          <w:rFonts w:ascii="Times New Roman" w:hAnsi="Times New Roman" w:cs="Times New Roman"/>
          <w:b/>
          <w:bCs/>
          <w:lang w:val="en-US"/>
        </w:rPr>
        <w:t>nanomaterials</w:t>
      </w:r>
      <w:proofErr w:type="spellEnd"/>
      <w:r w:rsidRPr="00BF10E4">
        <w:rPr>
          <w:rFonts w:ascii="Times New Roman" w:hAnsi="Times New Roman" w:cs="Times New Roman"/>
          <w:b/>
          <w:bCs/>
          <w:lang w:val="en-US"/>
        </w:rPr>
        <w:t xml:space="preserve"> (201</w:t>
      </w:r>
      <w:r w:rsidR="00742A48">
        <w:rPr>
          <w:rFonts w:ascii="Times New Roman" w:hAnsi="Times New Roman" w:cs="Times New Roman"/>
          <w:b/>
          <w:bCs/>
          <w:lang w:val="en-US"/>
        </w:rPr>
        <w:t>9</w:t>
      </w:r>
      <w:r w:rsidRPr="00BF10E4">
        <w:rPr>
          <w:rFonts w:ascii="Times New Roman" w:hAnsi="Times New Roman" w:cs="Times New Roman"/>
          <w:b/>
          <w:bCs/>
          <w:lang w:val="en-US"/>
        </w:rPr>
        <w:t>)</w:t>
      </w:r>
    </w:p>
    <w:p w:rsidR="00742A48" w:rsidRDefault="00742A48" w:rsidP="00BF10E4">
      <w:pPr>
        <w:spacing w:after="0" w:line="240" w:lineRule="auto"/>
        <w:jc w:val="center"/>
        <w:rPr>
          <w:rFonts w:ascii="Times New Roman" w:hAnsi="Times New Roman" w:cs="Times New Roman"/>
          <w:b/>
          <w:bCs/>
          <w:lang w:val="en-US"/>
        </w:rPr>
      </w:pPr>
    </w:p>
    <w:p w:rsidR="00742A48" w:rsidRPr="00BF10E4" w:rsidRDefault="00742A48" w:rsidP="00BF10E4">
      <w:pPr>
        <w:spacing w:after="0" w:line="240" w:lineRule="auto"/>
        <w:jc w:val="center"/>
        <w:rPr>
          <w:rFonts w:ascii="Times New Roman" w:hAnsi="Times New Roman" w:cs="Times New Roman"/>
          <w:b/>
          <w:bCs/>
          <w:lang w:val="en-US"/>
        </w:rPr>
      </w:pPr>
    </w:p>
    <w:p w:rsidR="00742A48" w:rsidRDefault="00742A48" w:rsidP="00742A48">
      <w:pPr>
        <w:spacing w:after="0" w:line="240" w:lineRule="auto"/>
        <w:jc w:val="center"/>
        <w:rPr>
          <w:rStyle w:val="tlid-translation"/>
          <w:rFonts w:ascii="Times New Roman" w:hAnsi="Times New Roman" w:cs="Times New Roman"/>
          <w:b/>
          <w:sz w:val="24"/>
          <w:szCs w:val="24"/>
          <w:lang w:val="en-US"/>
        </w:rPr>
      </w:pPr>
      <w:r w:rsidRPr="00663279">
        <w:rPr>
          <w:rStyle w:val="tlid-translation"/>
          <w:rFonts w:ascii="Times New Roman" w:hAnsi="Times New Roman" w:cs="Times New Roman"/>
          <w:b/>
          <w:sz w:val="24"/>
          <w:szCs w:val="24"/>
          <w:lang w:val="en-US"/>
        </w:rPr>
        <w:t>The influence of the size factor on the formation of</w:t>
      </w:r>
      <w:r>
        <w:rPr>
          <w:rFonts w:ascii="Times New Roman" w:hAnsi="Times New Roman" w:cs="Times New Roman"/>
          <w:b/>
          <w:sz w:val="24"/>
          <w:szCs w:val="24"/>
          <w:lang w:val="en-US"/>
        </w:rPr>
        <w:t xml:space="preserve"> </w:t>
      </w:r>
      <w:r w:rsidRPr="00663279">
        <w:rPr>
          <w:rStyle w:val="tlid-translation"/>
          <w:rFonts w:ascii="Times New Roman" w:hAnsi="Times New Roman" w:cs="Times New Roman"/>
          <w:b/>
          <w:sz w:val="24"/>
          <w:szCs w:val="24"/>
          <w:lang w:val="en-US"/>
        </w:rPr>
        <w:t>eutectic</w:t>
      </w:r>
    </w:p>
    <w:p w:rsidR="00742A48" w:rsidRPr="001916F7" w:rsidRDefault="00742A48" w:rsidP="00742A48">
      <w:pPr>
        <w:spacing w:after="0" w:line="240" w:lineRule="auto"/>
        <w:jc w:val="center"/>
        <w:rPr>
          <w:rFonts w:ascii="Times New Roman" w:hAnsi="Times New Roman" w:cs="Times New Roman"/>
          <w:b/>
          <w:sz w:val="24"/>
          <w:szCs w:val="24"/>
          <w:lang w:val="en-US"/>
        </w:rPr>
      </w:pPr>
    </w:p>
    <w:p w:rsidR="00742A48" w:rsidRPr="001916F7" w:rsidRDefault="00742A48" w:rsidP="00742A48">
      <w:pPr>
        <w:spacing w:after="0" w:line="240" w:lineRule="auto"/>
        <w:jc w:val="center"/>
        <w:rPr>
          <w:rFonts w:ascii="Times New Roman" w:hAnsi="Times New Roman" w:cs="Times New Roman"/>
          <w:b/>
          <w:sz w:val="24"/>
          <w:szCs w:val="24"/>
          <w:lang w:val="en-US"/>
        </w:rPr>
      </w:pPr>
      <w:proofErr w:type="spellStart"/>
      <w:proofErr w:type="gramStart"/>
      <w:r w:rsidRPr="00742A48">
        <w:rPr>
          <w:rFonts w:ascii="Times New Roman" w:hAnsi="Times New Roman" w:cs="Times New Roman"/>
          <w:b/>
          <w:sz w:val="24"/>
          <w:szCs w:val="24"/>
          <w:u w:val="single"/>
          <w:lang w:val="en-US"/>
        </w:rPr>
        <w:t>Zakarian</w:t>
      </w:r>
      <w:proofErr w:type="spellEnd"/>
      <w:r w:rsidRPr="00742A48">
        <w:rPr>
          <w:rFonts w:ascii="Times New Roman" w:hAnsi="Times New Roman" w:cs="Times New Roman"/>
          <w:b/>
          <w:sz w:val="24"/>
          <w:szCs w:val="24"/>
          <w:u w:val="single"/>
          <w:lang w:val="uk-UA"/>
        </w:rPr>
        <w:t xml:space="preserve"> </w:t>
      </w:r>
      <w:r w:rsidRPr="00742A48">
        <w:rPr>
          <w:rFonts w:ascii="Times New Roman" w:hAnsi="Times New Roman" w:cs="Times New Roman"/>
          <w:b/>
          <w:sz w:val="24"/>
          <w:szCs w:val="24"/>
          <w:u w:val="single"/>
          <w:lang w:val="en-US"/>
        </w:rPr>
        <w:t>D</w:t>
      </w:r>
      <w:r w:rsidRPr="001916F7">
        <w:rPr>
          <w:rFonts w:ascii="Times New Roman" w:hAnsi="Times New Roman" w:cs="Times New Roman"/>
          <w:b/>
          <w:sz w:val="24"/>
          <w:szCs w:val="24"/>
          <w:lang w:val="uk-UA"/>
        </w:rPr>
        <w:t xml:space="preserve">., </w:t>
      </w:r>
      <w:proofErr w:type="spellStart"/>
      <w:r w:rsidRPr="001916F7">
        <w:rPr>
          <w:rFonts w:ascii="Times New Roman" w:hAnsi="Times New Roman" w:cs="Times New Roman"/>
          <w:b/>
          <w:sz w:val="24"/>
          <w:szCs w:val="24"/>
          <w:lang w:val="en-US"/>
        </w:rPr>
        <w:t>Khachatrian</w:t>
      </w:r>
      <w:proofErr w:type="spellEnd"/>
      <w:r w:rsidRPr="001916F7">
        <w:rPr>
          <w:rFonts w:ascii="Times New Roman" w:hAnsi="Times New Roman" w:cs="Times New Roman"/>
          <w:b/>
          <w:sz w:val="24"/>
          <w:szCs w:val="24"/>
          <w:lang w:val="uk-UA"/>
        </w:rPr>
        <w:t xml:space="preserve"> </w:t>
      </w:r>
      <w:r w:rsidRPr="001916F7">
        <w:rPr>
          <w:rFonts w:ascii="Times New Roman" w:hAnsi="Times New Roman" w:cs="Times New Roman"/>
          <w:b/>
          <w:sz w:val="24"/>
          <w:szCs w:val="24"/>
          <w:lang w:val="en-US"/>
        </w:rPr>
        <w:t>A</w:t>
      </w:r>
      <w:r w:rsidRPr="001916F7">
        <w:rPr>
          <w:rFonts w:ascii="Times New Roman" w:hAnsi="Times New Roman" w:cs="Times New Roman"/>
          <w:b/>
          <w:sz w:val="24"/>
          <w:szCs w:val="24"/>
          <w:lang w:val="uk-UA"/>
        </w:rPr>
        <w:t>.</w:t>
      </w:r>
      <w:r w:rsidRPr="001916F7">
        <w:rPr>
          <w:rFonts w:ascii="Times New Roman" w:hAnsi="Times New Roman" w:cs="Times New Roman"/>
          <w:b/>
          <w:sz w:val="24"/>
          <w:szCs w:val="24"/>
          <w:lang w:val="en-US"/>
        </w:rPr>
        <w:t xml:space="preserve">, </w:t>
      </w:r>
      <w:proofErr w:type="spellStart"/>
      <w:r w:rsidRPr="001916F7">
        <w:rPr>
          <w:rFonts w:ascii="Times New Roman" w:hAnsi="Times New Roman" w:cs="Times New Roman"/>
          <w:b/>
          <w:sz w:val="24"/>
          <w:szCs w:val="24"/>
          <w:lang w:val="en-US"/>
        </w:rPr>
        <w:t>Kartuzov</w:t>
      </w:r>
      <w:proofErr w:type="spellEnd"/>
      <w:r w:rsidRPr="001916F7">
        <w:rPr>
          <w:rFonts w:ascii="Times New Roman" w:hAnsi="Times New Roman" w:cs="Times New Roman"/>
          <w:b/>
          <w:sz w:val="24"/>
          <w:szCs w:val="24"/>
          <w:lang w:val="en-US"/>
        </w:rPr>
        <w:t xml:space="preserve"> V.</w:t>
      </w:r>
      <w:proofErr w:type="gramEnd"/>
    </w:p>
    <w:p w:rsidR="00742A48" w:rsidRPr="0076382A" w:rsidRDefault="00742A48" w:rsidP="00742A48">
      <w:pPr>
        <w:spacing w:after="0" w:line="240" w:lineRule="auto"/>
        <w:jc w:val="center"/>
        <w:rPr>
          <w:rFonts w:cs="Times New Roman"/>
          <w:b/>
          <w:lang w:val="en-US"/>
        </w:rPr>
      </w:pPr>
    </w:p>
    <w:p w:rsidR="00742A48" w:rsidRPr="001916F7" w:rsidRDefault="00742A48" w:rsidP="00742A48">
      <w:pPr>
        <w:spacing w:after="0" w:line="240" w:lineRule="auto"/>
        <w:jc w:val="center"/>
        <w:rPr>
          <w:rFonts w:ascii="Times New Roman" w:hAnsi="Times New Roman" w:cs="Times New Roman"/>
          <w:sz w:val="20"/>
          <w:szCs w:val="20"/>
          <w:lang w:val="en-US"/>
        </w:rPr>
      </w:pPr>
      <w:proofErr w:type="gramStart"/>
      <w:r w:rsidRPr="001916F7">
        <w:rPr>
          <w:rFonts w:ascii="Times New Roman" w:hAnsi="Times New Roman" w:cs="Times New Roman"/>
          <w:i/>
          <w:sz w:val="20"/>
          <w:szCs w:val="20"/>
          <w:lang w:val="en-US"/>
        </w:rPr>
        <w:t xml:space="preserve">National Academy of Science of Ukraine, </w:t>
      </w:r>
      <w:proofErr w:type="spellStart"/>
      <w:r w:rsidRPr="001916F7">
        <w:rPr>
          <w:rFonts w:ascii="Times New Roman" w:hAnsi="Times New Roman" w:cs="Times New Roman"/>
          <w:i/>
          <w:sz w:val="20"/>
          <w:szCs w:val="20"/>
          <w:lang w:val="en-US"/>
        </w:rPr>
        <w:t>Frantzevich</w:t>
      </w:r>
      <w:proofErr w:type="spellEnd"/>
      <w:r w:rsidRPr="001916F7">
        <w:rPr>
          <w:rFonts w:ascii="Times New Roman" w:hAnsi="Times New Roman" w:cs="Times New Roman"/>
          <w:i/>
          <w:sz w:val="20"/>
          <w:szCs w:val="20"/>
          <w:lang w:val="en-US"/>
        </w:rPr>
        <w:t xml:space="preserve"> Institute for Problems of Materials Science, Kiev-142, </w:t>
      </w:r>
      <w:proofErr w:type="spellStart"/>
      <w:r w:rsidRPr="001916F7">
        <w:rPr>
          <w:rFonts w:ascii="Times New Roman" w:hAnsi="Times New Roman" w:cs="Times New Roman"/>
          <w:i/>
          <w:sz w:val="20"/>
          <w:szCs w:val="20"/>
          <w:lang w:val="en-US"/>
        </w:rPr>
        <w:t>Krzhizhanovski</w:t>
      </w:r>
      <w:proofErr w:type="spellEnd"/>
      <w:r w:rsidRPr="001916F7">
        <w:rPr>
          <w:rFonts w:ascii="Times New Roman" w:hAnsi="Times New Roman" w:cs="Times New Roman"/>
          <w:i/>
          <w:sz w:val="20"/>
          <w:szCs w:val="20"/>
          <w:lang w:val="en-US"/>
        </w:rPr>
        <w:t xml:space="preserve"> </w:t>
      </w:r>
      <w:proofErr w:type="spellStart"/>
      <w:r w:rsidRPr="001916F7">
        <w:rPr>
          <w:rFonts w:ascii="Times New Roman" w:hAnsi="Times New Roman" w:cs="Times New Roman"/>
          <w:i/>
          <w:sz w:val="20"/>
          <w:szCs w:val="20"/>
          <w:lang w:val="en-US"/>
        </w:rPr>
        <w:t>st.</w:t>
      </w:r>
      <w:proofErr w:type="spellEnd"/>
      <w:r w:rsidRPr="001916F7">
        <w:rPr>
          <w:rFonts w:ascii="Times New Roman" w:hAnsi="Times New Roman" w:cs="Times New Roman"/>
          <w:i/>
          <w:sz w:val="20"/>
          <w:szCs w:val="20"/>
          <w:lang w:val="en-US"/>
        </w:rPr>
        <w:t>, 3.</w:t>
      </w:r>
      <w:proofErr w:type="gramEnd"/>
      <w:r w:rsidRPr="001916F7">
        <w:rPr>
          <w:rFonts w:ascii="Times New Roman" w:hAnsi="Times New Roman" w:cs="Times New Roman"/>
          <w:i/>
          <w:sz w:val="20"/>
          <w:szCs w:val="20"/>
          <w:lang w:val="en-US"/>
        </w:rPr>
        <w:t xml:space="preserve"> Ukraine,</w:t>
      </w:r>
    </w:p>
    <w:p w:rsidR="00742A48" w:rsidRPr="001916F7" w:rsidRDefault="00742A48" w:rsidP="00742A48">
      <w:pPr>
        <w:spacing w:after="0" w:line="240" w:lineRule="auto"/>
        <w:ind w:firstLine="862"/>
        <w:jc w:val="center"/>
        <w:rPr>
          <w:rFonts w:ascii="Times New Roman" w:hAnsi="Times New Roman" w:cs="Times New Roman"/>
          <w:b/>
          <w:sz w:val="24"/>
          <w:szCs w:val="24"/>
          <w:lang w:val="en-US"/>
        </w:rPr>
      </w:pPr>
    </w:p>
    <w:p w:rsidR="00742A48" w:rsidRPr="001916F7" w:rsidRDefault="00742A48" w:rsidP="00742A48">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b/>
      </w:r>
      <w:r w:rsidRPr="001916F7">
        <w:rPr>
          <w:rFonts w:ascii="Times New Roman" w:eastAsia="Times New Roman" w:hAnsi="Times New Roman" w:cs="Times New Roman"/>
          <w:lang w:val="en-US"/>
        </w:rPr>
        <w:t>We c</w:t>
      </w:r>
      <w:r w:rsidRPr="00663279">
        <w:rPr>
          <w:rFonts w:ascii="Times New Roman" w:eastAsia="Times New Roman" w:hAnsi="Times New Roman" w:cs="Times New Roman"/>
          <w:lang w:val="en-US"/>
        </w:rPr>
        <w:t xml:space="preserve">onsider a binary system (A - B) of a refractory compound. The thermodynamic potential of the system is constructed as the sum of the interaction energy between the elements A and B </w:t>
      </w:r>
      <w:r w:rsidRPr="001916F7">
        <w:rPr>
          <w:rFonts w:ascii="Times New Roman" w:hAnsi="Times New Roman" w:cs="Times New Roman"/>
          <w:lang w:val="en-US"/>
        </w:rPr>
        <w:t>(</w:t>
      </w:r>
      <w:r w:rsidRPr="001916F7">
        <w:rPr>
          <w:rFonts w:ascii="Times New Roman" w:hAnsi="Times New Roman" w:cs="Times New Roman"/>
          <w:i/>
          <w:lang w:val="en-US"/>
        </w:rPr>
        <w:t>U</w:t>
      </w:r>
      <w:r w:rsidRPr="001916F7">
        <w:rPr>
          <w:rFonts w:ascii="Times New Roman" w:hAnsi="Times New Roman" w:cs="Times New Roman"/>
          <w:i/>
          <w:vertAlign w:val="subscript"/>
          <w:lang w:val="en-US"/>
        </w:rPr>
        <w:t>AA</w:t>
      </w:r>
      <w:r w:rsidRPr="001916F7">
        <w:rPr>
          <w:rFonts w:ascii="Times New Roman" w:hAnsi="Times New Roman" w:cs="Times New Roman"/>
          <w:i/>
          <w:lang w:val="en-US"/>
        </w:rPr>
        <w:t>, U</w:t>
      </w:r>
      <w:r w:rsidRPr="001916F7">
        <w:rPr>
          <w:rFonts w:ascii="Times New Roman" w:hAnsi="Times New Roman" w:cs="Times New Roman"/>
          <w:i/>
          <w:vertAlign w:val="subscript"/>
          <w:lang w:val="en-US"/>
        </w:rPr>
        <w:t>BB</w:t>
      </w:r>
      <w:r w:rsidRPr="001916F7">
        <w:rPr>
          <w:rFonts w:ascii="Times New Roman" w:hAnsi="Times New Roman" w:cs="Times New Roman"/>
          <w:i/>
          <w:lang w:val="en-US"/>
        </w:rPr>
        <w:t>, U</w:t>
      </w:r>
      <w:r w:rsidRPr="001916F7">
        <w:rPr>
          <w:rFonts w:ascii="Times New Roman" w:hAnsi="Times New Roman" w:cs="Times New Roman"/>
          <w:i/>
          <w:vertAlign w:val="subscript"/>
          <w:lang w:val="en-US"/>
        </w:rPr>
        <w:t>AB</w:t>
      </w:r>
      <w:proofErr w:type="gramStart"/>
      <w:r w:rsidRPr="001916F7">
        <w:rPr>
          <w:rFonts w:ascii="Times New Roman" w:hAnsi="Times New Roman" w:cs="Times New Roman"/>
          <w:lang w:val="en-US"/>
        </w:rPr>
        <w:t>)</w:t>
      </w:r>
      <w:r w:rsidRPr="00663279">
        <w:rPr>
          <w:rFonts w:ascii="Times New Roman" w:eastAsia="Times New Roman" w:hAnsi="Times New Roman" w:cs="Times New Roman"/>
          <w:lang w:val="en-US"/>
        </w:rPr>
        <w:t xml:space="preserve"> .</w:t>
      </w:r>
      <w:proofErr w:type="gramEnd"/>
      <w:r w:rsidRPr="00663279">
        <w:rPr>
          <w:rFonts w:ascii="Times New Roman" w:eastAsia="Times New Roman" w:hAnsi="Times New Roman" w:cs="Times New Roman"/>
          <w:lang w:val="en-US"/>
        </w:rPr>
        <w:t xml:space="preserve"> </w:t>
      </w:r>
      <w:r w:rsidRPr="00742A48">
        <w:rPr>
          <w:rFonts w:ascii="Times New Roman" w:eastAsia="Times New Roman" w:hAnsi="Times New Roman" w:cs="Times New Roman"/>
          <w:lang w:val="en-US"/>
        </w:rPr>
        <w:t xml:space="preserve">The eutectic parameters (concentration and melting point) were obtained from the </w:t>
      </w:r>
      <w:proofErr w:type="spellStart"/>
      <w:r w:rsidRPr="00742A48">
        <w:rPr>
          <w:rFonts w:ascii="Times New Roman" w:eastAsia="Times New Roman" w:hAnsi="Times New Roman" w:cs="Times New Roman"/>
          <w:lang w:val="en-US"/>
        </w:rPr>
        <w:t>extremum</w:t>
      </w:r>
      <w:proofErr w:type="spellEnd"/>
      <w:r w:rsidRPr="00742A48">
        <w:rPr>
          <w:rFonts w:ascii="Times New Roman" w:eastAsia="Times New Roman" w:hAnsi="Times New Roman" w:cs="Times New Roman"/>
          <w:lang w:val="en-US"/>
        </w:rPr>
        <w:t xml:space="preserve"> condition of the thermodynamic potential [1]. Considering that for bulk materials, the surface fraction is small compared to the volume part, the influence of external surfaces is not taken into account when calculating the physical characteristics of the system. In the transition to limited (</w:t>
      </w:r>
      <w:proofErr w:type="spellStart"/>
      <w:r w:rsidRPr="00742A48">
        <w:rPr>
          <w:rFonts w:ascii="Times New Roman" w:eastAsia="Times New Roman" w:hAnsi="Times New Roman" w:cs="Times New Roman"/>
          <w:lang w:val="en-US"/>
        </w:rPr>
        <w:t>nanoscale</w:t>
      </w:r>
      <w:proofErr w:type="spellEnd"/>
      <w:r w:rsidRPr="00742A48">
        <w:rPr>
          <w:rFonts w:ascii="Times New Roman" w:eastAsia="Times New Roman" w:hAnsi="Times New Roman" w:cs="Times New Roman"/>
          <w:lang w:val="en-US"/>
        </w:rPr>
        <w:t xml:space="preserve">) materials, it is necessary to take into account the influence of external surfaces on the physical properties of crystals. </w:t>
      </w:r>
      <w:r>
        <w:rPr>
          <w:rFonts w:ascii="Times New Roman" w:eastAsia="Times New Roman" w:hAnsi="Times New Roman" w:cs="Times New Roman"/>
          <w:lang w:val="en-US"/>
        </w:rPr>
        <w:tab/>
      </w:r>
      <w:r w:rsidRPr="00742A48">
        <w:rPr>
          <w:rFonts w:ascii="Times New Roman" w:eastAsia="Times New Roman" w:hAnsi="Times New Roman" w:cs="Times New Roman"/>
          <w:lang w:val="en-US"/>
        </w:rPr>
        <w:t xml:space="preserve">The influence of the external surface on the internal states of ions and electrons was estimated by us by averaging the energy of neighboring layers in the presence of close-packed atomic planes [2], in their absence, such as, for example, in the </w:t>
      </w:r>
      <w:r w:rsidRPr="001916F7">
        <w:rPr>
          <w:rStyle w:val="hps"/>
          <w:rFonts w:ascii="Times New Roman" w:eastAsia="MS Mincho" w:hAnsi="Times New Roman"/>
          <w:lang w:val="en-US"/>
        </w:rPr>
        <w:t>LaB</w:t>
      </w:r>
      <w:r w:rsidRPr="001916F7">
        <w:rPr>
          <w:rStyle w:val="hps"/>
          <w:rFonts w:ascii="Times New Roman" w:eastAsia="MS Mincho" w:hAnsi="Times New Roman"/>
          <w:vertAlign w:val="subscript"/>
          <w:lang w:val="en-US"/>
        </w:rPr>
        <w:t>6</w:t>
      </w:r>
      <w:r w:rsidRPr="001916F7">
        <w:rPr>
          <w:rStyle w:val="hps"/>
          <w:rFonts w:ascii="Times New Roman" w:eastAsia="MS Mincho" w:hAnsi="Times New Roman"/>
          <w:lang w:val="en-US"/>
        </w:rPr>
        <w:t xml:space="preserve"> - </w:t>
      </w:r>
      <w:r w:rsidRPr="001916F7">
        <w:rPr>
          <w:rFonts w:ascii="Times New Roman" w:hAnsi="Times New Roman"/>
          <w:lang w:val="en-US"/>
        </w:rPr>
        <w:t>MeB</w:t>
      </w:r>
      <w:r w:rsidRPr="001916F7">
        <w:rPr>
          <w:rFonts w:ascii="Times New Roman" w:hAnsi="Times New Roman"/>
          <w:vertAlign w:val="subscript"/>
          <w:lang w:val="en-US"/>
        </w:rPr>
        <w:t xml:space="preserve">2  </w:t>
      </w:r>
      <w:r w:rsidRPr="00742A48">
        <w:rPr>
          <w:rFonts w:ascii="Times New Roman" w:eastAsia="Times New Roman" w:hAnsi="Times New Roman" w:cs="Times New Roman"/>
          <w:lang w:val="en-US"/>
        </w:rPr>
        <w:t xml:space="preserve"> system, a new method is proposed, the essence of which is as follows: for the components </w:t>
      </w:r>
      <w:r w:rsidRPr="001916F7">
        <w:rPr>
          <w:rStyle w:val="hps"/>
          <w:rFonts w:ascii="Times New Roman" w:eastAsia="MS Mincho" w:hAnsi="Times New Roman"/>
          <w:lang w:val="en-US"/>
        </w:rPr>
        <w:t>LaB</w:t>
      </w:r>
      <w:r w:rsidRPr="001916F7">
        <w:rPr>
          <w:rStyle w:val="hps"/>
          <w:rFonts w:ascii="Times New Roman" w:eastAsia="MS Mincho" w:hAnsi="Times New Roman"/>
          <w:vertAlign w:val="subscript"/>
          <w:lang w:val="en-US"/>
        </w:rPr>
        <w:t>6</w:t>
      </w:r>
      <w:r w:rsidRPr="00742A48">
        <w:rPr>
          <w:rFonts w:ascii="Times New Roman" w:eastAsia="Times New Roman" w:hAnsi="Times New Roman" w:cs="Times New Roman"/>
          <w:lang w:val="en-US"/>
        </w:rPr>
        <w:t xml:space="preserve"> and </w:t>
      </w:r>
      <w:r w:rsidRPr="001916F7">
        <w:rPr>
          <w:rFonts w:ascii="Times New Roman" w:hAnsi="Times New Roman"/>
          <w:lang w:val="en-US"/>
        </w:rPr>
        <w:t>MeB</w:t>
      </w:r>
      <w:r w:rsidRPr="001916F7">
        <w:rPr>
          <w:rFonts w:ascii="Times New Roman" w:hAnsi="Times New Roman"/>
          <w:vertAlign w:val="subscript"/>
          <w:lang w:val="en-US"/>
        </w:rPr>
        <w:t>2</w:t>
      </w:r>
      <w:r w:rsidRPr="00742A48">
        <w:rPr>
          <w:rFonts w:ascii="Times New Roman" w:eastAsia="Times New Roman" w:hAnsi="Times New Roman" w:cs="Times New Roman"/>
          <w:lang w:val="en-US"/>
        </w:rPr>
        <w:t xml:space="preserve">, the energy of the outer surface is determined on the basis of the value of the total energy of the electron-ion system of the unit cell. Let the outer surface of the </w:t>
      </w:r>
      <w:r w:rsidRPr="001916F7">
        <w:rPr>
          <w:rStyle w:val="hps"/>
          <w:rFonts w:ascii="Times New Roman" w:eastAsia="MS Mincho" w:hAnsi="Times New Roman"/>
          <w:lang w:val="en-US"/>
        </w:rPr>
        <w:t>LaB</w:t>
      </w:r>
      <w:r w:rsidRPr="001916F7">
        <w:rPr>
          <w:rStyle w:val="hps"/>
          <w:rFonts w:ascii="Times New Roman" w:eastAsia="MS Mincho" w:hAnsi="Times New Roman"/>
          <w:vertAlign w:val="subscript"/>
          <w:lang w:val="en-US"/>
        </w:rPr>
        <w:t>6</w:t>
      </w:r>
      <w:r w:rsidRPr="001916F7">
        <w:rPr>
          <w:rStyle w:val="hps"/>
          <w:rFonts w:ascii="Times New Roman" w:eastAsia="MS Mincho" w:hAnsi="Times New Roman"/>
          <w:lang w:val="en-US"/>
        </w:rPr>
        <w:t xml:space="preserve"> - </w:t>
      </w:r>
      <w:r w:rsidRPr="001916F7">
        <w:rPr>
          <w:rFonts w:ascii="Times New Roman" w:hAnsi="Times New Roman"/>
          <w:lang w:val="en-US"/>
        </w:rPr>
        <w:t>MeB</w:t>
      </w:r>
      <w:r w:rsidRPr="001916F7">
        <w:rPr>
          <w:rFonts w:ascii="Times New Roman" w:hAnsi="Times New Roman"/>
          <w:vertAlign w:val="subscript"/>
          <w:lang w:val="en-US"/>
        </w:rPr>
        <w:t xml:space="preserve">2  </w:t>
      </w:r>
      <w:r w:rsidRPr="00742A48">
        <w:rPr>
          <w:rFonts w:ascii="Times New Roman" w:eastAsia="Times New Roman" w:hAnsi="Times New Roman" w:cs="Times New Roman"/>
          <w:lang w:val="en-US"/>
        </w:rPr>
        <w:t xml:space="preserve"> </w:t>
      </w:r>
      <w:proofErr w:type="spellStart"/>
      <w:r w:rsidRPr="00742A48">
        <w:rPr>
          <w:rFonts w:ascii="Times New Roman" w:eastAsia="Times New Roman" w:hAnsi="Times New Roman" w:cs="Times New Roman"/>
          <w:lang w:val="en-US"/>
        </w:rPr>
        <w:t>nanoplate</w:t>
      </w:r>
      <w:proofErr w:type="spellEnd"/>
      <w:r w:rsidRPr="00742A48">
        <w:rPr>
          <w:rFonts w:ascii="Times New Roman" w:eastAsia="Times New Roman" w:hAnsi="Times New Roman" w:cs="Times New Roman"/>
          <w:lang w:val="en-US"/>
        </w:rPr>
        <w:t xml:space="preserve"> coincide with the basal plane of the unit cell </w:t>
      </w:r>
      <w:r w:rsidRPr="001916F7">
        <w:rPr>
          <w:rFonts w:ascii="Times New Roman" w:hAnsi="Times New Roman"/>
          <w:lang w:val="en-US"/>
        </w:rPr>
        <w:t>MeB</w:t>
      </w:r>
      <w:r w:rsidRPr="001916F7">
        <w:rPr>
          <w:rFonts w:ascii="Times New Roman" w:hAnsi="Times New Roman"/>
          <w:vertAlign w:val="subscript"/>
          <w:lang w:val="en-US"/>
        </w:rPr>
        <w:t>2</w:t>
      </w:r>
      <w:r w:rsidRPr="00742A48">
        <w:rPr>
          <w:rFonts w:ascii="Times New Roman" w:eastAsia="Times New Roman" w:hAnsi="Times New Roman" w:cs="Times New Roman"/>
          <w:lang w:val="en-US"/>
        </w:rPr>
        <w:t xml:space="preserve"> and the faces of the cubic </w:t>
      </w:r>
      <w:r w:rsidRPr="001916F7">
        <w:rPr>
          <w:rStyle w:val="hps"/>
          <w:rFonts w:ascii="Times New Roman" w:eastAsia="MS Mincho" w:hAnsi="Times New Roman"/>
          <w:lang w:val="en-US"/>
        </w:rPr>
        <w:t>LaB</w:t>
      </w:r>
      <w:r w:rsidRPr="001916F7">
        <w:rPr>
          <w:rStyle w:val="hps"/>
          <w:rFonts w:ascii="Times New Roman" w:eastAsia="MS Mincho" w:hAnsi="Times New Roman"/>
          <w:vertAlign w:val="subscript"/>
          <w:lang w:val="en-US"/>
        </w:rPr>
        <w:t>6</w:t>
      </w:r>
      <w:r w:rsidRPr="00742A48">
        <w:rPr>
          <w:rFonts w:ascii="Times New Roman" w:eastAsia="Times New Roman" w:hAnsi="Times New Roman" w:cs="Times New Roman"/>
          <w:lang w:val="en-US"/>
        </w:rPr>
        <w:t>. We distribute the total energy of the electron-ion system, which arrives at one unit cell, uniformly along the faces, and we obtain an estimate of the energy that comes to one facet of the unit cell.</w:t>
      </w:r>
    </w:p>
    <w:p w:rsidR="00742A48" w:rsidRPr="00427115" w:rsidRDefault="00742A48" w:rsidP="00742A48">
      <w:pPr>
        <w:spacing w:after="0" w:line="240" w:lineRule="auto"/>
        <w:jc w:val="both"/>
        <w:rPr>
          <w:rFonts w:ascii="Times New Roman" w:hAnsi="Times New Roman" w:cs="Times New Roman"/>
          <w:lang w:val="en-US"/>
        </w:rPr>
      </w:pPr>
      <w:r>
        <w:rPr>
          <w:rStyle w:val="tlid-translation"/>
          <w:rFonts w:ascii="Times New Roman" w:hAnsi="Times New Roman" w:cs="Times New Roman"/>
          <w:lang w:val="en-US"/>
        </w:rPr>
        <w:tab/>
      </w:r>
      <w:r w:rsidRPr="00663279">
        <w:rPr>
          <w:rStyle w:val="tlid-translation"/>
          <w:rFonts w:ascii="Times New Roman" w:hAnsi="Times New Roman" w:cs="Times New Roman"/>
          <w:lang w:val="en-US"/>
        </w:rPr>
        <w:t xml:space="preserve">To estimate the interfacial interaction energy, taking into account the presence of an external surface, we introduce the concept of a virtual cell including the interface of joining two components, with an average volume of the volume of two components. If we assign a cubic structure with the parameter </w:t>
      </w:r>
      <w:r w:rsidRPr="00663279">
        <w:rPr>
          <w:rStyle w:val="tlid-translation"/>
          <w:rFonts w:ascii="Times New Roman" w:hAnsi="Times New Roman" w:cs="Times New Roman"/>
          <w:i/>
          <w:lang w:val="en-US"/>
        </w:rPr>
        <w:t>a</w:t>
      </w:r>
      <w:r w:rsidRPr="00663279">
        <w:rPr>
          <w:rStyle w:val="tlid-translation"/>
          <w:rFonts w:ascii="Times New Roman" w:hAnsi="Times New Roman" w:cs="Times New Roman"/>
          <w:vertAlign w:val="superscript"/>
          <w:lang w:val="en-US"/>
        </w:rPr>
        <w:t>*</w:t>
      </w:r>
      <w:r w:rsidRPr="00663279">
        <w:rPr>
          <w:rStyle w:val="tlid-translation"/>
          <w:rFonts w:ascii="Times New Roman" w:hAnsi="Times New Roman" w:cs="Times New Roman"/>
          <w:lang w:val="en-US"/>
        </w:rPr>
        <w:t xml:space="preserve"> to a virtual cell, </w:t>
      </w:r>
      <w:proofErr w:type="gramStart"/>
      <w:r w:rsidRPr="00663279">
        <w:rPr>
          <w:rStyle w:val="tlid-translation"/>
          <w:rFonts w:ascii="Times New Roman" w:hAnsi="Times New Roman" w:cs="Times New Roman"/>
          <w:lang w:val="en-US"/>
        </w:rPr>
        <w:t xml:space="preserve">then </w:t>
      </w:r>
      <w:proofErr w:type="gramEnd"/>
      <w:r w:rsidRPr="00427115">
        <w:rPr>
          <w:rFonts w:ascii="Times New Roman" w:hAnsi="Times New Roman" w:cs="Times New Roman"/>
          <w:position w:val="-12"/>
        </w:rPr>
        <w:object w:dxaOrig="2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5pt;height:18.2pt" o:ole="" fillcolor="window">
            <v:imagedata r:id="rId7" o:title=""/>
          </v:shape>
          <o:OLEObject Type="Embed" ProgID="Equation.3" ShapeID="_x0000_i1025" DrawAspect="Content" ObjectID="_1615736700" r:id="rId8"/>
        </w:object>
      </w:r>
      <w:r w:rsidRPr="00663279">
        <w:rPr>
          <w:rStyle w:val="tlid-translation"/>
          <w:rFonts w:ascii="Times New Roman" w:hAnsi="Times New Roman" w:cs="Times New Roman"/>
          <w:lang w:val="en-US"/>
        </w:rPr>
        <w:t xml:space="preserve">. Here </w:t>
      </w:r>
      <w:proofErr w:type="gramStart"/>
      <w:r w:rsidRPr="00427115">
        <w:rPr>
          <w:rFonts w:ascii="Times New Roman" w:hAnsi="Times New Roman" w:cs="Times New Roman"/>
          <w:i/>
        </w:rPr>
        <w:t>С</w:t>
      </w:r>
      <w:r w:rsidRPr="00427115">
        <w:rPr>
          <w:rFonts w:ascii="Times New Roman" w:hAnsi="Times New Roman" w:cs="Times New Roman"/>
          <w:i/>
          <w:vertAlign w:val="subscript"/>
        </w:rPr>
        <w:t>Е</w:t>
      </w:r>
      <w:r w:rsidRPr="00427115">
        <w:rPr>
          <w:rFonts w:ascii="Times New Roman" w:hAnsi="Times New Roman" w:cs="Times New Roman"/>
          <w:i/>
          <w:vertAlign w:val="superscript"/>
          <w:lang w:val="en-US"/>
        </w:rPr>
        <w:t>0</w:t>
      </w:r>
      <w:r w:rsidRPr="00427115">
        <w:rPr>
          <w:rFonts w:ascii="Times New Roman" w:hAnsi="Times New Roman" w:cs="Times New Roman"/>
          <w:i/>
          <w:lang w:val="en-US"/>
        </w:rPr>
        <w:t xml:space="preserve"> </w:t>
      </w:r>
      <w:r w:rsidRPr="00663279">
        <w:rPr>
          <w:rStyle w:val="tlid-translation"/>
          <w:rFonts w:ascii="Times New Roman" w:hAnsi="Times New Roman" w:cs="Times New Roman"/>
          <w:lang w:val="en-US"/>
        </w:rPr>
        <w:t xml:space="preserve"> is</w:t>
      </w:r>
      <w:proofErr w:type="gramEnd"/>
      <w:r w:rsidRPr="00663279">
        <w:rPr>
          <w:rStyle w:val="tlid-translation"/>
          <w:rFonts w:ascii="Times New Roman" w:hAnsi="Times New Roman" w:cs="Times New Roman"/>
          <w:lang w:val="en-US"/>
        </w:rPr>
        <w:t xml:space="preserve"> the eutectic concentration of bulk materials, </w:t>
      </w:r>
      <w:r w:rsidRPr="00A4432C">
        <w:rPr>
          <w:rFonts w:ascii="Times New Roman" w:hAnsi="Times New Roman" w:cs="Times New Roman"/>
          <w:i/>
        </w:rPr>
        <w:t>а</w:t>
      </w:r>
      <w:r w:rsidRPr="00427115">
        <w:rPr>
          <w:rFonts w:ascii="Times New Roman" w:hAnsi="Times New Roman" w:cs="Times New Roman"/>
          <w:vertAlign w:val="subscript"/>
          <w:lang w:val="en-US"/>
        </w:rPr>
        <w:t>0</w:t>
      </w:r>
      <w:r w:rsidRPr="00663279">
        <w:rPr>
          <w:rStyle w:val="tlid-translation"/>
          <w:rFonts w:ascii="Times New Roman" w:hAnsi="Times New Roman" w:cs="Times New Roman"/>
          <w:lang w:val="en-US"/>
        </w:rPr>
        <w:t xml:space="preserve"> is the parameter of the cubic lattice, </w:t>
      </w:r>
      <w:r w:rsidRPr="00663279">
        <w:rPr>
          <w:rStyle w:val="tlid-translation"/>
          <w:rFonts w:ascii="Times New Roman" w:hAnsi="Times New Roman" w:cs="Times New Roman"/>
          <w:i/>
          <w:lang w:val="en-US"/>
        </w:rPr>
        <w:t xml:space="preserve">a </w:t>
      </w:r>
      <w:r w:rsidRPr="00663279">
        <w:rPr>
          <w:rStyle w:val="tlid-translation"/>
          <w:rFonts w:ascii="Times New Roman" w:hAnsi="Times New Roman" w:cs="Times New Roman"/>
          <w:lang w:val="en-US"/>
        </w:rPr>
        <w:t xml:space="preserve">and </w:t>
      </w:r>
      <w:r w:rsidRPr="00663279">
        <w:rPr>
          <w:rStyle w:val="tlid-translation"/>
          <w:rFonts w:ascii="Times New Roman" w:hAnsi="Times New Roman" w:cs="Times New Roman"/>
          <w:i/>
          <w:lang w:val="en-US"/>
        </w:rPr>
        <w:t>c</w:t>
      </w:r>
      <w:r w:rsidRPr="00663279">
        <w:rPr>
          <w:rStyle w:val="tlid-translation"/>
          <w:rFonts w:ascii="Times New Roman" w:hAnsi="Times New Roman" w:cs="Times New Roman"/>
          <w:lang w:val="en-US"/>
        </w:rPr>
        <w:t xml:space="preserve"> are the parameters of the hexagonal lattice. </w:t>
      </w:r>
      <w:r w:rsidRPr="00742A48">
        <w:rPr>
          <w:rStyle w:val="tlid-translation"/>
          <w:rFonts w:ascii="Times New Roman" w:hAnsi="Times New Roman" w:cs="Times New Roman"/>
          <w:lang w:val="en-US"/>
        </w:rPr>
        <w:t xml:space="preserve">To estimate the energy of a </w:t>
      </w:r>
      <w:proofErr w:type="spellStart"/>
      <w:r w:rsidRPr="00742A48">
        <w:rPr>
          <w:rStyle w:val="tlid-translation"/>
          <w:rFonts w:ascii="Times New Roman" w:hAnsi="Times New Roman" w:cs="Times New Roman"/>
          <w:lang w:val="en-US"/>
        </w:rPr>
        <w:t>nanocrystal</w:t>
      </w:r>
      <w:proofErr w:type="spellEnd"/>
      <w:r w:rsidRPr="00742A48">
        <w:rPr>
          <w:rStyle w:val="tlid-translation"/>
          <w:rFonts w:ascii="Times New Roman" w:hAnsi="Times New Roman" w:cs="Times New Roman"/>
          <w:lang w:val="en-US"/>
        </w:rPr>
        <w:t xml:space="preserve">, we use the averaging method for crystals with close-packed atomic planes, assuming that the energy is averaged over two neighboring cells, but not over atomic planes. As a result, we obtain the energy value per cell depending on the distance of the outer surface (implicitly expressed in the cell number). Let us sum this energy over all unit cells located along the thickness of the </w:t>
      </w:r>
      <w:proofErr w:type="spellStart"/>
      <w:r w:rsidRPr="00742A48">
        <w:rPr>
          <w:rStyle w:val="tlid-translation"/>
          <w:rFonts w:ascii="Times New Roman" w:hAnsi="Times New Roman" w:cs="Times New Roman"/>
          <w:lang w:val="en-US"/>
        </w:rPr>
        <w:t>nanoplate</w:t>
      </w:r>
      <w:proofErr w:type="spellEnd"/>
      <w:r w:rsidRPr="00742A48">
        <w:rPr>
          <w:rStyle w:val="tlid-translation"/>
          <w:rFonts w:ascii="Times New Roman" w:hAnsi="Times New Roman" w:cs="Times New Roman"/>
          <w:lang w:val="en-US"/>
        </w:rPr>
        <w:t xml:space="preserve"> and divide by the number of cells. We obtain the final formulas for the average value of the interaction energy of the components, taking into account the size of the </w:t>
      </w:r>
      <w:proofErr w:type="spellStart"/>
      <w:r w:rsidRPr="00742A48">
        <w:rPr>
          <w:rStyle w:val="tlid-translation"/>
          <w:rFonts w:ascii="Times New Roman" w:hAnsi="Times New Roman" w:cs="Times New Roman"/>
          <w:lang w:val="en-US"/>
        </w:rPr>
        <w:t>nanoplate</w:t>
      </w:r>
      <w:proofErr w:type="spellEnd"/>
      <w:r w:rsidRPr="00427115">
        <w:rPr>
          <w:rStyle w:val="tlid-translation"/>
          <w:rFonts w:ascii="Times New Roman" w:hAnsi="Times New Roman" w:cs="Times New Roman"/>
          <w:lang w:val="en-US"/>
        </w:rPr>
        <w:t xml:space="preserve"> -</w:t>
      </w:r>
      <w:r w:rsidRPr="00742A48">
        <w:rPr>
          <w:rStyle w:val="tlid-translation"/>
          <w:rFonts w:ascii="Times New Roman" w:hAnsi="Times New Roman" w:cs="Times New Roman"/>
          <w:lang w:val="en-US"/>
        </w:rPr>
        <w:t xml:space="preserve"> </w:t>
      </w:r>
      <w:r w:rsidRPr="00742A48">
        <w:rPr>
          <w:rStyle w:val="tlid-translation"/>
          <w:rFonts w:ascii="Times New Roman" w:hAnsi="Times New Roman" w:cs="Times New Roman"/>
          <w:i/>
          <w:lang w:val="en-US"/>
        </w:rPr>
        <w:t>d</w:t>
      </w:r>
      <w:r w:rsidRPr="00742A48">
        <w:rPr>
          <w:rStyle w:val="tlid-translation"/>
          <w:rFonts w:ascii="Times New Roman" w:hAnsi="Times New Roman" w:cs="Times New Roman"/>
          <w:lang w:val="en-US"/>
        </w:rPr>
        <w:t>:</w:t>
      </w:r>
    </w:p>
    <w:p w:rsidR="00742A48" w:rsidRPr="00742A48" w:rsidRDefault="00742A48" w:rsidP="00742A48">
      <w:pPr>
        <w:spacing w:after="0" w:line="240" w:lineRule="auto"/>
        <w:ind w:firstLine="720"/>
        <w:jc w:val="both"/>
        <w:rPr>
          <w:rFonts w:ascii="Times New Roman" w:hAnsi="Times New Roman" w:cs="Times New Roman"/>
          <w:lang w:val="en-US"/>
        </w:rPr>
      </w:pPr>
    </w:p>
    <w:p w:rsidR="00742A48" w:rsidRPr="0076382A" w:rsidRDefault="00742A48" w:rsidP="00742A48">
      <w:pPr>
        <w:spacing w:after="0" w:line="240" w:lineRule="auto"/>
        <w:ind w:firstLine="720"/>
        <w:jc w:val="both"/>
        <w:rPr>
          <w:rFonts w:ascii="Times New Roman" w:hAnsi="Times New Roman" w:cs="Times New Roman"/>
          <w:position w:val="-10"/>
          <w:lang w:val="en-US"/>
        </w:rPr>
      </w:pPr>
      <w:r w:rsidRPr="0076382A">
        <w:rPr>
          <w:rFonts w:ascii="Times New Roman" w:hAnsi="Times New Roman" w:cs="Times New Roman"/>
          <w:position w:val="-14"/>
        </w:rPr>
        <w:object w:dxaOrig="7839" w:dyaOrig="400">
          <v:shape id="_x0000_i1026" type="#_x0000_t75" style="width:344.85pt;height:18.2pt" o:ole="" fillcolor="window">
            <v:imagedata r:id="rId9" o:title=""/>
          </v:shape>
          <o:OLEObject Type="Embed" ProgID="Equation.3" ShapeID="_x0000_i1026" DrawAspect="Content" ObjectID="_1615736701" r:id="rId10"/>
        </w:object>
      </w:r>
      <w:r w:rsidRPr="009505CD">
        <w:rPr>
          <w:rFonts w:ascii="Times New Roman" w:hAnsi="Times New Roman" w:cs="Times New Roman"/>
          <w:lang w:val="en-US"/>
        </w:rPr>
        <w:t xml:space="preserve">   </w:t>
      </w:r>
      <w:r>
        <w:rPr>
          <w:rFonts w:ascii="Times New Roman" w:hAnsi="Times New Roman" w:cs="Times New Roman"/>
          <w:lang w:val="en-US"/>
        </w:rPr>
        <w:t xml:space="preserve">                      </w:t>
      </w:r>
      <w:r w:rsidRPr="009505CD">
        <w:rPr>
          <w:rFonts w:ascii="Times New Roman" w:hAnsi="Times New Roman" w:cs="Times New Roman"/>
          <w:lang w:val="en-US"/>
        </w:rPr>
        <w:t>(1)</w:t>
      </w:r>
      <w:r>
        <w:rPr>
          <w:rFonts w:ascii="Times New Roman" w:hAnsi="Times New Roman" w:cs="Times New Roman"/>
          <w:lang w:val="en-US"/>
        </w:rPr>
        <w:t>,</w:t>
      </w:r>
    </w:p>
    <w:p w:rsidR="00742A48" w:rsidRPr="00427115" w:rsidRDefault="00742A48" w:rsidP="00742A48">
      <w:pPr>
        <w:spacing w:after="0" w:line="240" w:lineRule="auto"/>
        <w:jc w:val="both"/>
        <w:rPr>
          <w:rFonts w:ascii="Times New Roman" w:hAnsi="Times New Roman"/>
          <w:lang w:val="en-US"/>
        </w:rPr>
      </w:pPr>
      <w:r>
        <w:rPr>
          <w:rFonts w:ascii="Times New Roman" w:hAnsi="Times New Roman"/>
        </w:rPr>
        <w:t>где</w:t>
      </w:r>
      <w:r w:rsidRPr="009505CD">
        <w:rPr>
          <w:rFonts w:ascii="Times New Roman" w:hAnsi="Times New Roman"/>
          <w:lang w:val="en-US"/>
        </w:rPr>
        <w:t xml:space="preserve"> </w:t>
      </w:r>
      <w:r w:rsidRPr="0076382A">
        <w:rPr>
          <w:rFonts w:ascii="Times New Roman" w:hAnsi="Times New Roman"/>
          <w:position w:val="-12"/>
        </w:rPr>
        <w:object w:dxaOrig="2480" w:dyaOrig="400">
          <v:shape id="_x0000_i1027" type="#_x0000_t75" style="width:135.3pt;height:19.35pt" o:ole="" fillcolor="window">
            <v:imagedata r:id="rId11" o:title=""/>
          </v:shape>
          <o:OLEObject Type="Embed" ProgID="Equation.3" ShapeID="_x0000_i1027" DrawAspect="Content" ObjectID="_1615736702" r:id="rId12"/>
        </w:object>
      </w:r>
      <w:r w:rsidRPr="009505CD">
        <w:rPr>
          <w:rFonts w:ascii="Times New Roman" w:hAnsi="Times New Roman"/>
          <w:lang w:val="en-US"/>
        </w:rPr>
        <w:t xml:space="preserve">, </w:t>
      </w:r>
      <w:r w:rsidRPr="0076382A">
        <w:rPr>
          <w:rFonts w:ascii="Times New Roman" w:hAnsi="Times New Roman"/>
          <w:i/>
          <w:lang w:val="en-US"/>
        </w:rPr>
        <w:t>K</w:t>
      </w:r>
      <w:r w:rsidRPr="0076382A">
        <w:rPr>
          <w:rFonts w:ascii="Times New Roman" w:hAnsi="Times New Roman"/>
          <w:i/>
          <w:vertAlign w:val="subscript"/>
          <w:lang w:val="en-US"/>
        </w:rPr>
        <w:t>AA</w:t>
      </w:r>
      <w:r w:rsidRPr="009505CD">
        <w:rPr>
          <w:rFonts w:ascii="Times New Roman" w:hAnsi="Times New Roman"/>
          <w:lang w:val="en-US"/>
        </w:rPr>
        <w:t>=</w:t>
      </w:r>
      <w:r w:rsidRPr="0076382A">
        <w:rPr>
          <w:rFonts w:ascii="Times New Roman" w:hAnsi="Times New Roman"/>
          <w:lang w:val="en-US"/>
        </w:rPr>
        <w:t>a</w:t>
      </w:r>
      <w:r w:rsidRPr="009505CD">
        <w:rPr>
          <w:rFonts w:ascii="Times New Roman" w:hAnsi="Times New Roman"/>
          <w:vertAlign w:val="subscript"/>
          <w:lang w:val="en-US"/>
        </w:rPr>
        <w:t>0</w:t>
      </w:r>
      <w:r w:rsidRPr="009505CD">
        <w:rPr>
          <w:rFonts w:ascii="Times New Roman" w:hAnsi="Times New Roman"/>
          <w:lang w:val="en-US"/>
        </w:rPr>
        <w:t xml:space="preserve">/6,  </w:t>
      </w:r>
      <w:r w:rsidRPr="0076382A">
        <w:rPr>
          <w:rFonts w:ascii="Times New Roman" w:hAnsi="Times New Roman"/>
          <w:i/>
          <w:lang w:val="en-US"/>
        </w:rPr>
        <w:t>K</w:t>
      </w:r>
      <w:r w:rsidRPr="0076382A">
        <w:rPr>
          <w:rFonts w:ascii="Times New Roman" w:hAnsi="Times New Roman"/>
          <w:i/>
          <w:vertAlign w:val="subscript"/>
          <w:lang w:val="en-US"/>
        </w:rPr>
        <w:t>AB</w:t>
      </w:r>
      <w:r w:rsidRPr="009505CD">
        <w:rPr>
          <w:rFonts w:ascii="Times New Roman" w:hAnsi="Times New Roman"/>
          <w:i/>
          <w:lang w:val="en-US"/>
        </w:rPr>
        <w:t xml:space="preserve"> </w:t>
      </w:r>
      <w:r w:rsidRPr="009505CD">
        <w:rPr>
          <w:rFonts w:ascii="Times New Roman" w:hAnsi="Times New Roman"/>
          <w:lang w:val="en-US"/>
        </w:rPr>
        <w:t xml:space="preserve">= </w:t>
      </w:r>
      <w:r w:rsidRPr="000A3F68">
        <w:rPr>
          <w:rFonts w:ascii="Times New Roman" w:hAnsi="Times New Roman"/>
          <w:i/>
          <w:lang w:val="en-US"/>
        </w:rPr>
        <w:t>a</w:t>
      </w:r>
      <w:r>
        <w:rPr>
          <w:rFonts w:ascii="Times New Roman" w:hAnsi="Times New Roman"/>
          <w:vertAlign w:val="superscript"/>
          <w:lang w:val="en-US"/>
        </w:rPr>
        <w:t>*</w:t>
      </w:r>
      <w:r w:rsidRPr="009505CD">
        <w:rPr>
          <w:rFonts w:ascii="Times New Roman" w:hAnsi="Times New Roman"/>
          <w:i/>
          <w:lang w:val="en-US"/>
        </w:rPr>
        <w:t>/6.</w:t>
      </w:r>
      <w:r w:rsidRPr="009505CD">
        <w:rPr>
          <w:rFonts w:ascii="Times New Roman" w:hAnsi="Times New Roman"/>
          <w:lang w:val="en-US"/>
        </w:rPr>
        <w:t xml:space="preserve">          </w:t>
      </w:r>
    </w:p>
    <w:p w:rsidR="00742A48" w:rsidRPr="008B09DD" w:rsidRDefault="00742A48" w:rsidP="00742A48">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b/>
      </w:r>
      <w:r w:rsidRPr="00663279">
        <w:rPr>
          <w:rFonts w:ascii="Times New Roman" w:eastAsia="Times New Roman" w:hAnsi="Times New Roman" w:cs="Times New Roman"/>
          <w:lang w:val="en-US"/>
        </w:rPr>
        <w:t xml:space="preserve">The method of calculating the eutectic concentration and temperature for </w:t>
      </w:r>
      <w:proofErr w:type="spellStart"/>
      <w:r w:rsidRPr="00663279">
        <w:rPr>
          <w:rFonts w:ascii="Times New Roman" w:eastAsia="Times New Roman" w:hAnsi="Times New Roman" w:cs="Times New Roman"/>
          <w:lang w:val="en-US"/>
        </w:rPr>
        <w:t>nanocomposites</w:t>
      </w:r>
      <w:proofErr w:type="spellEnd"/>
      <w:r w:rsidRPr="00663279">
        <w:rPr>
          <w:rFonts w:ascii="Times New Roman" w:eastAsia="Times New Roman" w:hAnsi="Times New Roman" w:cs="Times New Roman"/>
          <w:lang w:val="en-US"/>
        </w:rPr>
        <w:t xml:space="preserve"> is the same as for bulk materials, but only with new values ​​of the interaction energy between the representative elements of the components (1). The relation (1) implicitly takes into account an increase in the root-mean-square displacement of atoms at small sizes, and a decrease in the Debye temperature. Calculations show that a decrease in the size of the composite leads to an increase in the concentration fraction of the reinforcing phase and to a decrease in the temperature of the eutectic. The functional dependence of the normalized eutectic concentration </w:t>
      </w:r>
      <w:r w:rsidRPr="00427115">
        <w:rPr>
          <w:rFonts w:ascii="Times New Roman" w:eastAsia="Times New Roman" w:hAnsi="Times New Roman" w:cs="Times New Roman"/>
          <w:i/>
          <w:lang w:val="en-US"/>
        </w:rPr>
        <w:t>C</w:t>
      </w:r>
      <w:r w:rsidRPr="00427115">
        <w:rPr>
          <w:rFonts w:ascii="Times New Roman" w:eastAsia="Times New Roman" w:hAnsi="Times New Roman" w:cs="Times New Roman"/>
          <w:i/>
          <w:vertAlign w:val="subscript"/>
          <w:lang w:val="en-US"/>
        </w:rPr>
        <w:t>E</w:t>
      </w:r>
      <w:r w:rsidRPr="00427115">
        <w:rPr>
          <w:rFonts w:ascii="Times New Roman" w:eastAsia="Times New Roman" w:hAnsi="Times New Roman" w:cs="Times New Roman"/>
          <w:i/>
          <w:lang w:val="en-US"/>
        </w:rPr>
        <w:t>/</w:t>
      </w:r>
      <w:proofErr w:type="gramStart"/>
      <w:r w:rsidRPr="00427115">
        <w:rPr>
          <w:rFonts w:ascii="Times New Roman" w:eastAsia="Times New Roman" w:hAnsi="Times New Roman" w:cs="Times New Roman"/>
          <w:i/>
          <w:lang w:val="en-US"/>
        </w:rPr>
        <w:t>C</w:t>
      </w:r>
      <w:r w:rsidRPr="00427115">
        <w:rPr>
          <w:rFonts w:ascii="Times New Roman" w:eastAsia="Times New Roman" w:hAnsi="Times New Roman" w:cs="Times New Roman"/>
          <w:i/>
          <w:vertAlign w:val="subscript"/>
          <w:lang w:val="en-US"/>
        </w:rPr>
        <w:t>E</w:t>
      </w:r>
      <w:r w:rsidRPr="00427115">
        <w:rPr>
          <w:rFonts w:ascii="Times New Roman" w:eastAsia="Times New Roman" w:hAnsi="Times New Roman" w:cs="Times New Roman"/>
          <w:i/>
          <w:vertAlign w:val="superscript"/>
          <w:lang w:val="en-US"/>
        </w:rPr>
        <w:t>0</w:t>
      </w:r>
      <w:r w:rsidRPr="00427115">
        <w:rPr>
          <w:rFonts w:ascii="Times New Roman" w:eastAsia="Times New Roman" w:hAnsi="Times New Roman" w:cs="Times New Roman"/>
          <w:i/>
          <w:lang w:val="en-US"/>
        </w:rPr>
        <w:t xml:space="preserve">  </w:t>
      </w:r>
      <w:r w:rsidRPr="00427115">
        <w:rPr>
          <w:rFonts w:ascii="Times New Roman" w:eastAsia="Times New Roman" w:hAnsi="Times New Roman" w:cs="Times New Roman"/>
          <w:lang w:val="en-US"/>
        </w:rPr>
        <w:t>(</w:t>
      </w:r>
      <w:proofErr w:type="gramEnd"/>
      <w:r w:rsidRPr="00427115">
        <w:rPr>
          <w:rFonts w:ascii="Times New Roman" w:eastAsia="Times New Roman" w:hAnsi="Times New Roman" w:cs="Times New Roman"/>
          <w:i/>
          <w:lang w:val="en-US"/>
        </w:rPr>
        <w:t>C</w:t>
      </w:r>
      <w:r w:rsidRPr="00427115">
        <w:rPr>
          <w:rFonts w:ascii="Times New Roman" w:eastAsia="Times New Roman" w:hAnsi="Times New Roman" w:cs="Times New Roman"/>
          <w:i/>
          <w:vertAlign w:val="subscript"/>
          <w:lang w:val="en-US"/>
        </w:rPr>
        <w:t>E</w:t>
      </w:r>
      <w:r w:rsidRPr="00427115">
        <w:rPr>
          <w:rFonts w:ascii="Times New Roman" w:hAnsi="Times New Roman" w:cs="Times New Roman"/>
          <w:position w:val="-10"/>
          <w:lang w:val="en-US"/>
        </w:rPr>
        <w:t xml:space="preserve"> </w:t>
      </w:r>
      <w:r>
        <w:rPr>
          <w:rFonts w:ascii="Times New Roman" w:hAnsi="Times New Roman" w:cs="Times New Roman"/>
          <w:position w:val="-10"/>
          <w:lang w:val="en-US"/>
        </w:rPr>
        <w:t xml:space="preserve"> </w:t>
      </w:r>
      <w:r w:rsidRPr="00663279">
        <w:rPr>
          <w:rFonts w:ascii="Times New Roman" w:eastAsia="Times New Roman" w:hAnsi="Times New Roman" w:cs="Times New Roman"/>
          <w:lang w:val="en-US"/>
        </w:rPr>
        <w:t>- is the concentration of the component of the eutectic composition of the nanomaterial) and temperature on the size of the composite is the same for different two-component systems.</w:t>
      </w:r>
    </w:p>
    <w:p w:rsidR="00742A48" w:rsidRPr="008B09DD" w:rsidRDefault="00742A48" w:rsidP="00742A48">
      <w:pPr>
        <w:spacing w:after="0" w:line="240" w:lineRule="auto"/>
        <w:ind w:firstLine="720"/>
        <w:jc w:val="both"/>
        <w:rPr>
          <w:rFonts w:ascii="Times New Roman" w:hAnsi="Times New Roman" w:cs="Times New Roman"/>
          <w:position w:val="-10"/>
          <w:lang w:val="en-US"/>
        </w:rPr>
      </w:pPr>
    </w:p>
    <w:p w:rsidR="00742A48" w:rsidRPr="00427115" w:rsidRDefault="00742A48" w:rsidP="00742A48">
      <w:pPr>
        <w:spacing w:after="0" w:line="240" w:lineRule="auto"/>
        <w:jc w:val="both"/>
        <w:rPr>
          <w:rFonts w:ascii="Times New Roman" w:hAnsi="Times New Roman" w:cs="Times New Roman"/>
          <w:position w:val="-10"/>
          <w:lang w:val="en-US"/>
        </w:rPr>
      </w:pPr>
    </w:p>
    <w:p w:rsidR="00742A48" w:rsidRPr="00F310A8" w:rsidRDefault="00742A48" w:rsidP="00742A48">
      <w:pPr>
        <w:spacing w:after="0" w:line="240" w:lineRule="auto"/>
        <w:jc w:val="both"/>
        <w:rPr>
          <w:rFonts w:ascii="Times New Roman" w:hAnsi="Times New Roman"/>
          <w:sz w:val="20"/>
          <w:szCs w:val="20"/>
          <w:lang w:val="uk-UA"/>
        </w:rPr>
      </w:pPr>
      <w:r>
        <w:rPr>
          <w:rFonts w:ascii="Times New Roman" w:hAnsi="Times New Roman"/>
          <w:sz w:val="20"/>
          <w:szCs w:val="20"/>
          <w:lang w:val="en-US"/>
        </w:rPr>
        <w:t xml:space="preserve">1. </w:t>
      </w:r>
      <w:proofErr w:type="spellStart"/>
      <w:r w:rsidRPr="00F310A8">
        <w:rPr>
          <w:rFonts w:ascii="Times New Roman" w:hAnsi="Times New Roman"/>
          <w:sz w:val="20"/>
          <w:szCs w:val="20"/>
          <w:lang w:val="en-US"/>
        </w:rPr>
        <w:t>Zakarian</w:t>
      </w:r>
      <w:proofErr w:type="spellEnd"/>
      <w:r>
        <w:rPr>
          <w:rFonts w:ascii="Times New Roman" w:hAnsi="Times New Roman"/>
          <w:sz w:val="20"/>
          <w:szCs w:val="20"/>
          <w:lang w:val="en-US"/>
        </w:rPr>
        <w:t xml:space="preserve"> D., </w:t>
      </w:r>
      <w:proofErr w:type="spellStart"/>
      <w:r w:rsidRPr="00F310A8">
        <w:rPr>
          <w:rFonts w:ascii="Times New Roman" w:hAnsi="Times New Roman"/>
          <w:sz w:val="20"/>
          <w:szCs w:val="20"/>
          <w:lang w:val="en-US"/>
        </w:rPr>
        <w:t>Kartuzov</w:t>
      </w:r>
      <w:proofErr w:type="spellEnd"/>
      <w:r>
        <w:rPr>
          <w:rFonts w:ascii="Times New Roman" w:hAnsi="Times New Roman"/>
          <w:sz w:val="20"/>
          <w:szCs w:val="20"/>
          <w:lang w:val="en-US"/>
        </w:rPr>
        <w:t xml:space="preserve"> V., </w:t>
      </w:r>
      <w:proofErr w:type="spellStart"/>
      <w:proofErr w:type="gramStart"/>
      <w:r w:rsidRPr="00F310A8">
        <w:rPr>
          <w:rFonts w:ascii="Times New Roman" w:hAnsi="Times New Roman"/>
          <w:sz w:val="20"/>
          <w:szCs w:val="20"/>
          <w:lang w:val="en-US"/>
        </w:rPr>
        <w:t>Khachatrian</w:t>
      </w:r>
      <w:proofErr w:type="spellEnd"/>
      <w:r w:rsidRPr="00F310A8">
        <w:rPr>
          <w:rFonts w:ascii="Times New Roman" w:hAnsi="Times New Roman"/>
          <w:sz w:val="20"/>
          <w:szCs w:val="20"/>
          <w:lang w:val="en-US"/>
        </w:rPr>
        <w:t xml:space="preserve"> </w:t>
      </w:r>
      <w:r>
        <w:rPr>
          <w:rFonts w:ascii="Times New Roman" w:hAnsi="Times New Roman"/>
          <w:sz w:val="20"/>
          <w:szCs w:val="20"/>
          <w:lang w:val="en-US"/>
        </w:rPr>
        <w:t xml:space="preserve"> A</w:t>
      </w:r>
      <w:proofErr w:type="gramEnd"/>
      <w:r>
        <w:rPr>
          <w:rFonts w:ascii="Times New Roman" w:hAnsi="Times New Roman"/>
          <w:sz w:val="20"/>
          <w:szCs w:val="20"/>
          <w:lang w:val="en-US"/>
        </w:rPr>
        <w:t xml:space="preserve">. </w:t>
      </w:r>
      <w:r w:rsidRPr="00F310A8">
        <w:rPr>
          <w:rFonts w:ascii="Times New Roman" w:hAnsi="Times New Roman"/>
          <w:sz w:val="20"/>
          <w:szCs w:val="20"/>
          <w:lang w:val="en-US"/>
        </w:rPr>
        <w:t xml:space="preserve"> </w:t>
      </w:r>
      <w:proofErr w:type="gramStart"/>
      <w:r w:rsidRPr="00F310A8">
        <w:rPr>
          <w:rFonts w:ascii="Times New Roman" w:hAnsi="Times New Roman"/>
          <w:sz w:val="20"/>
          <w:szCs w:val="20"/>
          <w:lang w:val="en-US"/>
        </w:rPr>
        <w:t>Powder Metallurgy and Metal Ceramics.</w:t>
      </w:r>
      <w:proofErr w:type="gramEnd"/>
      <w:r w:rsidRPr="00F310A8">
        <w:rPr>
          <w:rFonts w:ascii="Times New Roman" w:hAnsi="Times New Roman"/>
          <w:sz w:val="20"/>
          <w:szCs w:val="20"/>
          <w:lang w:val="en-US"/>
        </w:rPr>
        <w:t xml:space="preserve"> </w:t>
      </w:r>
      <w:proofErr w:type="gramStart"/>
      <w:r w:rsidRPr="00F310A8">
        <w:rPr>
          <w:rFonts w:ascii="Times New Roman" w:hAnsi="Times New Roman"/>
          <w:sz w:val="20"/>
          <w:szCs w:val="20"/>
          <w:lang w:val="en-US"/>
        </w:rPr>
        <w:t>Springer - 2009.</w:t>
      </w:r>
      <w:proofErr w:type="gramEnd"/>
      <w:r w:rsidRPr="00F310A8">
        <w:rPr>
          <w:rFonts w:ascii="Times New Roman" w:hAnsi="Times New Roman"/>
          <w:sz w:val="20"/>
          <w:szCs w:val="20"/>
          <w:lang w:val="en-US"/>
        </w:rPr>
        <w:t xml:space="preserve"> - Vol. 48, № 9-</w:t>
      </w:r>
      <w:proofErr w:type="gramStart"/>
      <w:r w:rsidRPr="00F310A8">
        <w:rPr>
          <w:rFonts w:ascii="Times New Roman" w:hAnsi="Times New Roman"/>
          <w:sz w:val="20"/>
          <w:szCs w:val="20"/>
          <w:lang w:val="en-US"/>
        </w:rPr>
        <w:t>10 .</w:t>
      </w:r>
      <w:proofErr w:type="gramEnd"/>
      <w:r w:rsidRPr="00F310A8">
        <w:rPr>
          <w:rFonts w:ascii="Times New Roman" w:hAnsi="Times New Roman"/>
          <w:sz w:val="20"/>
          <w:szCs w:val="20"/>
          <w:lang w:val="en-US"/>
        </w:rPr>
        <w:t xml:space="preserve"> – P.588-594.</w:t>
      </w:r>
    </w:p>
    <w:p w:rsidR="00742A48" w:rsidRPr="00F310A8" w:rsidRDefault="00742A48" w:rsidP="00742A48">
      <w:pPr>
        <w:spacing w:after="0" w:line="240" w:lineRule="auto"/>
        <w:jc w:val="both"/>
        <w:rPr>
          <w:rFonts w:ascii="Times New Roman" w:hAnsi="Times New Roman"/>
          <w:sz w:val="20"/>
          <w:szCs w:val="20"/>
          <w:lang w:val="en-US"/>
        </w:rPr>
      </w:pPr>
      <w:r w:rsidRPr="00F310A8">
        <w:rPr>
          <w:sz w:val="20"/>
          <w:szCs w:val="20"/>
          <w:lang w:val="en-US"/>
        </w:rPr>
        <w:t>2.</w:t>
      </w:r>
      <w:r>
        <w:rPr>
          <w:sz w:val="20"/>
          <w:szCs w:val="20"/>
          <w:lang w:val="en-US"/>
        </w:rPr>
        <w:t xml:space="preserve"> </w:t>
      </w:r>
      <w:proofErr w:type="spellStart"/>
      <w:r w:rsidRPr="00F310A8">
        <w:rPr>
          <w:rFonts w:ascii="Times New Roman" w:hAnsi="Times New Roman"/>
          <w:sz w:val="20"/>
          <w:szCs w:val="20"/>
          <w:lang w:val="en-US"/>
        </w:rPr>
        <w:t>Zakarian</w:t>
      </w:r>
      <w:proofErr w:type="spellEnd"/>
      <w:r>
        <w:rPr>
          <w:rFonts w:ascii="Times New Roman" w:hAnsi="Times New Roman"/>
          <w:sz w:val="20"/>
          <w:szCs w:val="20"/>
          <w:lang w:val="en-US"/>
        </w:rPr>
        <w:t xml:space="preserve"> D., </w:t>
      </w:r>
      <w:proofErr w:type="spellStart"/>
      <w:r w:rsidRPr="00F310A8">
        <w:rPr>
          <w:rFonts w:ascii="Times New Roman" w:hAnsi="Times New Roman"/>
          <w:sz w:val="20"/>
          <w:szCs w:val="20"/>
          <w:lang w:val="en-US"/>
        </w:rPr>
        <w:t>Kartuzov</w:t>
      </w:r>
      <w:proofErr w:type="spellEnd"/>
      <w:r>
        <w:rPr>
          <w:rFonts w:ascii="Times New Roman" w:hAnsi="Times New Roman"/>
          <w:sz w:val="20"/>
          <w:szCs w:val="20"/>
          <w:lang w:val="en-US"/>
        </w:rPr>
        <w:t xml:space="preserve"> V., </w:t>
      </w:r>
      <w:proofErr w:type="spellStart"/>
      <w:r w:rsidRPr="00F310A8">
        <w:rPr>
          <w:rFonts w:ascii="Times New Roman" w:hAnsi="Times New Roman"/>
          <w:sz w:val="20"/>
          <w:szCs w:val="20"/>
          <w:lang w:val="en-US"/>
        </w:rPr>
        <w:t>Khachatrian</w:t>
      </w:r>
      <w:proofErr w:type="spellEnd"/>
      <w:r w:rsidRPr="00F310A8">
        <w:rPr>
          <w:rFonts w:ascii="Times New Roman" w:hAnsi="Times New Roman"/>
          <w:sz w:val="20"/>
          <w:szCs w:val="20"/>
          <w:lang w:val="en-US"/>
        </w:rPr>
        <w:t xml:space="preserve"> </w:t>
      </w:r>
      <w:r>
        <w:rPr>
          <w:rFonts w:ascii="Times New Roman" w:hAnsi="Times New Roman"/>
          <w:sz w:val="20"/>
          <w:szCs w:val="20"/>
          <w:lang w:val="en-US"/>
        </w:rPr>
        <w:t xml:space="preserve">A. </w:t>
      </w:r>
      <w:r w:rsidRPr="00F310A8">
        <w:rPr>
          <w:rFonts w:ascii="Times New Roman" w:hAnsi="Times New Roman"/>
          <w:sz w:val="20"/>
          <w:szCs w:val="20"/>
          <w:lang w:val="en-US"/>
        </w:rPr>
        <w:t xml:space="preserve">AIMS Materials Science. - 2016, 3(4): 1696-1703. </w:t>
      </w:r>
      <w:proofErr w:type="spellStart"/>
      <w:proofErr w:type="gramStart"/>
      <w:r w:rsidRPr="00F310A8">
        <w:rPr>
          <w:rFonts w:ascii="Times New Roman" w:hAnsi="Times New Roman"/>
          <w:sz w:val="20"/>
          <w:szCs w:val="20"/>
          <w:lang w:val="en-US"/>
        </w:rPr>
        <w:t>doi</w:t>
      </w:r>
      <w:proofErr w:type="spellEnd"/>
      <w:proofErr w:type="gramEnd"/>
      <w:r w:rsidRPr="00F310A8">
        <w:rPr>
          <w:rFonts w:ascii="Times New Roman" w:hAnsi="Times New Roman"/>
          <w:sz w:val="20"/>
          <w:szCs w:val="20"/>
          <w:lang w:val="en-US"/>
        </w:rPr>
        <w:t>: 10.3934/matersci.2016.4.1696.</w:t>
      </w:r>
    </w:p>
    <w:p w:rsidR="00742A48" w:rsidRPr="00F310A8" w:rsidRDefault="00742A48" w:rsidP="00742A48">
      <w:pPr>
        <w:spacing w:after="0" w:line="240" w:lineRule="auto"/>
        <w:jc w:val="both"/>
        <w:rPr>
          <w:sz w:val="20"/>
          <w:szCs w:val="20"/>
          <w:lang w:val="en-US"/>
        </w:rPr>
      </w:pPr>
    </w:p>
    <w:p w:rsidR="00742A48" w:rsidRPr="00BF10E4" w:rsidRDefault="00742A48" w:rsidP="00DC027E">
      <w:pPr>
        <w:spacing w:after="0" w:line="240" w:lineRule="auto"/>
        <w:jc w:val="center"/>
        <w:rPr>
          <w:rFonts w:ascii="Times New Roman" w:hAnsi="Times New Roman" w:cs="Times New Roman"/>
          <w:b/>
          <w:bCs/>
          <w:lang w:val="en-US"/>
        </w:rPr>
      </w:pPr>
    </w:p>
    <w:sectPr w:rsidR="00742A48" w:rsidRPr="00BF1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36E640"/>
    <w:name w:val="RTF_Num 5"/>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4817D98"/>
    <w:multiLevelType w:val="hybridMultilevel"/>
    <w:tmpl w:val="945AAD88"/>
    <w:lvl w:ilvl="0" w:tplc="53A095F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C3"/>
    <w:rsid w:val="000874F6"/>
    <w:rsid w:val="000D68A6"/>
    <w:rsid w:val="001156EE"/>
    <w:rsid w:val="00295A54"/>
    <w:rsid w:val="003059E0"/>
    <w:rsid w:val="003F154C"/>
    <w:rsid w:val="006D6191"/>
    <w:rsid w:val="007339C3"/>
    <w:rsid w:val="00742A48"/>
    <w:rsid w:val="00827719"/>
    <w:rsid w:val="00922123"/>
    <w:rsid w:val="009507CB"/>
    <w:rsid w:val="00A13FC2"/>
    <w:rsid w:val="00A27084"/>
    <w:rsid w:val="00A67F15"/>
    <w:rsid w:val="00BF10E4"/>
    <w:rsid w:val="00CB73C4"/>
    <w:rsid w:val="00D25B8E"/>
    <w:rsid w:val="00DC027E"/>
    <w:rsid w:val="00E15D4C"/>
    <w:rsid w:val="00FF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295A54"/>
    <w:pPr>
      <w:ind w:left="720"/>
      <w:contextualSpacing/>
    </w:pPr>
    <w:rPr>
      <w:rFonts w:ascii="Calibri" w:eastAsiaTheme="minorEastAsia" w:hAnsi="Calibri" w:cs="Times New Roman"/>
    </w:rPr>
  </w:style>
  <w:style w:type="paragraph" w:styleId="a4">
    <w:name w:val="No Spacing"/>
    <w:uiPriority w:val="1"/>
    <w:qFormat/>
    <w:rsid w:val="003F154C"/>
    <w:pPr>
      <w:spacing w:after="0" w:line="240" w:lineRule="auto"/>
    </w:pPr>
  </w:style>
  <w:style w:type="paragraph" w:styleId="a5">
    <w:name w:val="List Paragraph"/>
    <w:basedOn w:val="a"/>
    <w:uiPriority w:val="34"/>
    <w:qFormat/>
    <w:rsid w:val="003F154C"/>
    <w:pPr>
      <w:ind w:left="720"/>
      <w:contextualSpacing/>
    </w:pPr>
  </w:style>
  <w:style w:type="character" w:customStyle="1" w:styleId="shorttext">
    <w:name w:val="short_text"/>
    <w:basedOn w:val="a0"/>
    <w:rsid w:val="006D6191"/>
  </w:style>
  <w:style w:type="character" w:customStyle="1" w:styleId="hps">
    <w:name w:val="hps"/>
    <w:rsid w:val="00742A48"/>
  </w:style>
  <w:style w:type="character" w:customStyle="1" w:styleId="tlid-translation">
    <w:name w:val="tlid-translation"/>
    <w:basedOn w:val="a0"/>
    <w:rsid w:val="0074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295A54"/>
    <w:pPr>
      <w:ind w:left="720"/>
      <w:contextualSpacing/>
    </w:pPr>
    <w:rPr>
      <w:rFonts w:ascii="Calibri" w:eastAsiaTheme="minorEastAsia" w:hAnsi="Calibri" w:cs="Times New Roman"/>
    </w:rPr>
  </w:style>
  <w:style w:type="paragraph" w:styleId="a4">
    <w:name w:val="No Spacing"/>
    <w:uiPriority w:val="1"/>
    <w:qFormat/>
    <w:rsid w:val="003F154C"/>
    <w:pPr>
      <w:spacing w:after="0" w:line="240" w:lineRule="auto"/>
    </w:pPr>
  </w:style>
  <w:style w:type="paragraph" w:styleId="a5">
    <w:name w:val="List Paragraph"/>
    <w:basedOn w:val="a"/>
    <w:uiPriority w:val="34"/>
    <w:qFormat/>
    <w:rsid w:val="003F154C"/>
    <w:pPr>
      <w:ind w:left="720"/>
      <w:contextualSpacing/>
    </w:pPr>
  </w:style>
  <w:style w:type="character" w:customStyle="1" w:styleId="shorttext">
    <w:name w:val="short_text"/>
    <w:basedOn w:val="a0"/>
    <w:rsid w:val="006D6191"/>
  </w:style>
  <w:style w:type="character" w:customStyle="1" w:styleId="hps">
    <w:name w:val="hps"/>
    <w:rsid w:val="00742A48"/>
  </w:style>
  <w:style w:type="character" w:customStyle="1" w:styleId="tlid-translation">
    <w:name w:val="tlid-translation"/>
    <w:basedOn w:val="a0"/>
    <w:rsid w:val="0074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696">
      <w:bodyDiv w:val="1"/>
      <w:marLeft w:val="0"/>
      <w:marRight w:val="0"/>
      <w:marTop w:val="0"/>
      <w:marBottom w:val="0"/>
      <w:divBdr>
        <w:top w:val="none" w:sz="0" w:space="0" w:color="auto"/>
        <w:left w:val="none" w:sz="0" w:space="0" w:color="auto"/>
        <w:bottom w:val="none" w:sz="0" w:space="0" w:color="auto"/>
        <w:right w:val="none" w:sz="0" w:space="0" w:color="auto"/>
      </w:divBdr>
      <w:divsChild>
        <w:div w:id="1070418546">
          <w:marLeft w:val="0"/>
          <w:marRight w:val="0"/>
          <w:marTop w:val="0"/>
          <w:marBottom w:val="0"/>
          <w:divBdr>
            <w:top w:val="none" w:sz="0" w:space="0" w:color="auto"/>
            <w:left w:val="none" w:sz="0" w:space="0" w:color="auto"/>
            <w:bottom w:val="none" w:sz="0" w:space="0" w:color="auto"/>
            <w:right w:val="none" w:sz="0" w:space="0" w:color="auto"/>
          </w:divBdr>
          <w:divsChild>
            <w:div w:id="915476209">
              <w:marLeft w:val="0"/>
              <w:marRight w:val="0"/>
              <w:marTop w:val="0"/>
              <w:marBottom w:val="0"/>
              <w:divBdr>
                <w:top w:val="none" w:sz="0" w:space="0" w:color="auto"/>
                <w:left w:val="none" w:sz="0" w:space="0" w:color="auto"/>
                <w:bottom w:val="none" w:sz="0" w:space="0" w:color="auto"/>
                <w:right w:val="none" w:sz="0" w:space="0" w:color="auto"/>
              </w:divBdr>
              <w:divsChild>
                <w:div w:id="12938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4557">
          <w:marLeft w:val="0"/>
          <w:marRight w:val="0"/>
          <w:marTop w:val="0"/>
          <w:marBottom w:val="0"/>
          <w:divBdr>
            <w:top w:val="none" w:sz="0" w:space="0" w:color="auto"/>
            <w:left w:val="none" w:sz="0" w:space="0" w:color="auto"/>
            <w:bottom w:val="none" w:sz="0" w:space="0" w:color="auto"/>
            <w:right w:val="none" w:sz="0" w:space="0" w:color="auto"/>
          </w:divBdr>
          <w:divsChild>
            <w:div w:id="1388920025">
              <w:marLeft w:val="0"/>
              <w:marRight w:val="0"/>
              <w:marTop w:val="0"/>
              <w:marBottom w:val="0"/>
              <w:divBdr>
                <w:top w:val="none" w:sz="0" w:space="0" w:color="auto"/>
                <w:left w:val="none" w:sz="0" w:space="0" w:color="auto"/>
                <w:bottom w:val="none" w:sz="0" w:space="0" w:color="auto"/>
                <w:right w:val="none" w:sz="0" w:space="0" w:color="auto"/>
              </w:divBdr>
              <w:divsChild>
                <w:div w:id="447621325">
                  <w:marLeft w:val="0"/>
                  <w:marRight w:val="0"/>
                  <w:marTop w:val="0"/>
                  <w:marBottom w:val="0"/>
                  <w:divBdr>
                    <w:top w:val="none" w:sz="0" w:space="0" w:color="auto"/>
                    <w:left w:val="none" w:sz="0" w:space="0" w:color="auto"/>
                    <w:bottom w:val="none" w:sz="0" w:space="0" w:color="auto"/>
                    <w:right w:val="none" w:sz="0" w:space="0" w:color="auto"/>
                  </w:divBdr>
                  <w:divsChild>
                    <w:div w:id="5593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0412">
          <w:marLeft w:val="0"/>
          <w:marRight w:val="0"/>
          <w:marTop w:val="0"/>
          <w:marBottom w:val="0"/>
          <w:divBdr>
            <w:top w:val="none" w:sz="0" w:space="0" w:color="auto"/>
            <w:left w:val="none" w:sz="0" w:space="0" w:color="auto"/>
            <w:bottom w:val="none" w:sz="0" w:space="0" w:color="auto"/>
            <w:right w:val="none" w:sz="0" w:space="0" w:color="auto"/>
          </w:divBdr>
        </w:div>
        <w:div w:id="1632704894">
          <w:marLeft w:val="0"/>
          <w:marRight w:val="0"/>
          <w:marTop w:val="0"/>
          <w:marBottom w:val="0"/>
          <w:divBdr>
            <w:top w:val="none" w:sz="0" w:space="0" w:color="auto"/>
            <w:left w:val="none" w:sz="0" w:space="0" w:color="auto"/>
            <w:bottom w:val="none" w:sz="0" w:space="0" w:color="auto"/>
            <w:right w:val="none" w:sz="0" w:space="0" w:color="auto"/>
          </w:divBdr>
          <w:divsChild>
            <w:div w:id="1774667757">
              <w:marLeft w:val="0"/>
              <w:marRight w:val="0"/>
              <w:marTop w:val="0"/>
              <w:marBottom w:val="0"/>
              <w:divBdr>
                <w:top w:val="none" w:sz="0" w:space="0" w:color="auto"/>
                <w:left w:val="none" w:sz="0" w:space="0" w:color="auto"/>
                <w:bottom w:val="none" w:sz="0" w:space="0" w:color="auto"/>
                <w:right w:val="none" w:sz="0" w:space="0" w:color="auto"/>
              </w:divBdr>
              <w:divsChild>
                <w:div w:id="560949154">
                  <w:marLeft w:val="0"/>
                  <w:marRight w:val="0"/>
                  <w:marTop w:val="0"/>
                  <w:marBottom w:val="0"/>
                  <w:divBdr>
                    <w:top w:val="none" w:sz="0" w:space="0" w:color="auto"/>
                    <w:left w:val="none" w:sz="0" w:space="0" w:color="auto"/>
                    <w:bottom w:val="none" w:sz="0" w:space="0" w:color="auto"/>
                    <w:right w:val="none" w:sz="0" w:space="0" w:color="auto"/>
                  </w:divBdr>
                  <w:divsChild>
                    <w:div w:id="1559626303">
                      <w:marLeft w:val="0"/>
                      <w:marRight w:val="0"/>
                      <w:marTop w:val="0"/>
                      <w:marBottom w:val="0"/>
                      <w:divBdr>
                        <w:top w:val="none" w:sz="0" w:space="0" w:color="auto"/>
                        <w:left w:val="none" w:sz="0" w:space="0" w:color="auto"/>
                        <w:bottom w:val="none" w:sz="0" w:space="0" w:color="auto"/>
                        <w:right w:val="none" w:sz="0" w:space="0" w:color="auto"/>
                      </w:divBdr>
                      <w:divsChild>
                        <w:div w:id="1917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2197">
      <w:bodyDiv w:val="1"/>
      <w:marLeft w:val="0"/>
      <w:marRight w:val="0"/>
      <w:marTop w:val="0"/>
      <w:marBottom w:val="0"/>
      <w:divBdr>
        <w:top w:val="none" w:sz="0" w:space="0" w:color="auto"/>
        <w:left w:val="none" w:sz="0" w:space="0" w:color="auto"/>
        <w:bottom w:val="none" w:sz="0" w:space="0" w:color="auto"/>
        <w:right w:val="none" w:sz="0" w:space="0" w:color="auto"/>
      </w:divBdr>
      <w:divsChild>
        <w:div w:id="247542463">
          <w:marLeft w:val="0"/>
          <w:marRight w:val="0"/>
          <w:marTop w:val="0"/>
          <w:marBottom w:val="0"/>
          <w:divBdr>
            <w:top w:val="none" w:sz="0" w:space="0" w:color="auto"/>
            <w:left w:val="none" w:sz="0" w:space="0" w:color="auto"/>
            <w:bottom w:val="none" w:sz="0" w:space="0" w:color="auto"/>
            <w:right w:val="none" w:sz="0" w:space="0" w:color="auto"/>
          </w:divBdr>
          <w:divsChild>
            <w:div w:id="2068408041">
              <w:marLeft w:val="0"/>
              <w:marRight w:val="0"/>
              <w:marTop w:val="0"/>
              <w:marBottom w:val="0"/>
              <w:divBdr>
                <w:top w:val="none" w:sz="0" w:space="0" w:color="auto"/>
                <w:left w:val="none" w:sz="0" w:space="0" w:color="auto"/>
                <w:bottom w:val="none" w:sz="0" w:space="0" w:color="auto"/>
                <w:right w:val="none" w:sz="0" w:space="0" w:color="auto"/>
              </w:divBdr>
              <w:divsChild>
                <w:div w:id="10022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900">
          <w:marLeft w:val="0"/>
          <w:marRight w:val="0"/>
          <w:marTop w:val="0"/>
          <w:marBottom w:val="0"/>
          <w:divBdr>
            <w:top w:val="none" w:sz="0" w:space="0" w:color="auto"/>
            <w:left w:val="none" w:sz="0" w:space="0" w:color="auto"/>
            <w:bottom w:val="none" w:sz="0" w:space="0" w:color="auto"/>
            <w:right w:val="none" w:sz="0" w:space="0" w:color="auto"/>
          </w:divBdr>
          <w:divsChild>
            <w:div w:id="1987707201">
              <w:marLeft w:val="0"/>
              <w:marRight w:val="0"/>
              <w:marTop w:val="0"/>
              <w:marBottom w:val="0"/>
              <w:divBdr>
                <w:top w:val="none" w:sz="0" w:space="0" w:color="auto"/>
                <w:left w:val="none" w:sz="0" w:space="0" w:color="auto"/>
                <w:bottom w:val="none" w:sz="0" w:space="0" w:color="auto"/>
                <w:right w:val="none" w:sz="0" w:space="0" w:color="auto"/>
              </w:divBdr>
              <w:divsChild>
                <w:div w:id="1816603737">
                  <w:marLeft w:val="0"/>
                  <w:marRight w:val="0"/>
                  <w:marTop w:val="0"/>
                  <w:marBottom w:val="0"/>
                  <w:divBdr>
                    <w:top w:val="none" w:sz="0" w:space="0" w:color="auto"/>
                    <w:left w:val="none" w:sz="0" w:space="0" w:color="auto"/>
                    <w:bottom w:val="none" w:sz="0" w:space="0" w:color="auto"/>
                    <w:right w:val="none" w:sz="0" w:space="0" w:color="auto"/>
                  </w:divBdr>
                  <w:divsChild>
                    <w:div w:id="17017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1864">
          <w:marLeft w:val="0"/>
          <w:marRight w:val="0"/>
          <w:marTop w:val="0"/>
          <w:marBottom w:val="0"/>
          <w:divBdr>
            <w:top w:val="none" w:sz="0" w:space="0" w:color="auto"/>
            <w:left w:val="none" w:sz="0" w:space="0" w:color="auto"/>
            <w:bottom w:val="none" w:sz="0" w:space="0" w:color="auto"/>
            <w:right w:val="none" w:sz="0" w:space="0" w:color="auto"/>
          </w:divBdr>
        </w:div>
        <w:div w:id="191235325">
          <w:marLeft w:val="0"/>
          <w:marRight w:val="0"/>
          <w:marTop w:val="0"/>
          <w:marBottom w:val="0"/>
          <w:divBdr>
            <w:top w:val="none" w:sz="0" w:space="0" w:color="auto"/>
            <w:left w:val="none" w:sz="0" w:space="0" w:color="auto"/>
            <w:bottom w:val="none" w:sz="0" w:space="0" w:color="auto"/>
            <w:right w:val="none" w:sz="0" w:space="0" w:color="auto"/>
          </w:divBdr>
          <w:divsChild>
            <w:div w:id="2035382074">
              <w:marLeft w:val="0"/>
              <w:marRight w:val="0"/>
              <w:marTop w:val="0"/>
              <w:marBottom w:val="0"/>
              <w:divBdr>
                <w:top w:val="none" w:sz="0" w:space="0" w:color="auto"/>
                <w:left w:val="none" w:sz="0" w:space="0" w:color="auto"/>
                <w:bottom w:val="none" w:sz="0" w:space="0" w:color="auto"/>
                <w:right w:val="none" w:sz="0" w:space="0" w:color="auto"/>
              </w:divBdr>
              <w:divsChild>
                <w:div w:id="1926650409">
                  <w:marLeft w:val="0"/>
                  <w:marRight w:val="0"/>
                  <w:marTop w:val="0"/>
                  <w:marBottom w:val="0"/>
                  <w:divBdr>
                    <w:top w:val="none" w:sz="0" w:space="0" w:color="auto"/>
                    <w:left w:val="none" w:sz="0" w:space="0" w:color="auto"/>
                    <w:bottom w:val="none" w:sz="0" w:space="0" w:color="auto"/>
                    <w:right w:val="none" w:sz="0" w:space="0" w:color="auto"/>
                  </w:divBdr>
                  <w:divsChild>
                    <w:div w:id="1184200725">
                      <w:marLeft w:val="0"/>
                      <w:marRight w:val="0"/>
                      <w:marTop w:val="0"/>
                      <w:marBottom w:val="0"/>
                      <w:divBdr>
                        <w:top w:val="none" w:sz="0" w:space="0" w:color="auto"/>
                        <w:left w:val="none" w:sz="0" w:space="0" w:color="auto"/>
                        <w:bottom w:val="none" w:sz="0" w:space="0" w:color="auto"/>
                        <w:right w:val="none" w:sz="0" w:space="0" w:color="auto"/>
                      </w:divBdr>
                      <w:divsChild>
                        <w:div w:id="1311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36351">
      <w:bodyDiv w:val="1"/>
      <w:marLeft w:val="0"/>
      <w:marRight w:val="0"/>
      <w:marTop w:val="0"/>
      <w:marBottom w:val="0"/>
      <w:divBdr>
        <w:top w:val="none" w:sz="0" w:space="0" w:color="auto"/>
        <w:left w:val="none" w:sz="0" w:space="0" w:color="auto"/>
        <w:bottom w:val="none" w:sz="0" w:space="0" w:color="auto"/>
        <w:right w:val="none" w:sz="0" w:space="0" w:color="auto"/>
      </w:divBdr>
      <w:divsChild>
        <w:div w:id="1889803552">
          <w:marLeft w:val="0"/>
          <w:marRight w:val="0"/>
          <w:marTop w:val="0"/>
          <w:marBottom w:val="0"/>
          <w:divBdr>
            <w:top w:val="none" w:sz="0" w:space="0" w:color="auto"/>
            <w:left w:val="none" w:sz="0" w:space="0" w:color="auto"/>
            <w:bottom w:val="none" w:sz="0" w:space="0" w:color="auto"/>
            <w:right w:val="none" w:sz="0" w:space="0" w:color="auto"/>
          </w:divBdr>
          <w:divsChild>
            <w:div w:id="21123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1404">
      <w:bodyDiv w:val="1"/>
      <w:marLeft w:val="0"/>
      <w:marRight w:val="0"/>
      <w:marTop w:val="0"/>
      <w:marBottom w:val="0"/>
      <w:divBdr>
        <w:top w:val="none" w:sz="0" w:space="0" w:color="auto"/>
        <w:left w:val="none" w:sz="0" w:space="0" w:color="auto"/>
        <w:bottom w:val="none" w:sz="0" w:space="0" w:color="auto"/>
        <w:right w:val="none" w:sz="0" w:space="0" w:color="auto"/>
      </w:divBdr>
      <w:divsChild>
        <w:div w:id="1889143495">
          <w:marLeft w:val="0"/>
          <w:marRight w:val="0"/>
          <w:marTop w:val="0"/>
          <w:marBottom w:val="0"/>
          <w:divBdr>
            <w:top w:val="none" w:sz="0" w:space="0" w:color="auto"/>
            <w:left w:val="none" w:sz="0" w:space="0" w:color="auto"/>
            <w:bottom w:val="none" w:sz="0" w:space="0" w:color="auto"/>
            <w:right w:val="none" w:sz="0" w:space="0" w:color="auto"/>
          </w:divBdr>
          <w:divsChild>
            <w:div w:id="12665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7A9E-9887-40C9-AD17-463889A0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11</cp:revision>
  <dcterms:created xsi:type="dcterms:W3CDTF">2018-04-14T02:24:00Z</dcterms:created>
  <dcterms:modified xsi:type="dcterms:W3CDTF">2019-04-02T15:58:00Z</dcterms:modified>
</cp:coreProperties>
</file>