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Nanostructured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surfaces</w:t>
      </w:r>
      <w:proofErr w:type="spellEnd"/>
      <w:r>
        <w:rPr>
          <w:b/>
        </w:rPr>
        <w:t>”</w:t>
      </w:r>
    </w:p>
    <w:p w14:paraId="00000002" w14:textId="77777777" w:rsidR="00FB023D" w:rsidRDefault="00FB023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</w:p>
    <w:p w14:paraId="00000003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proofErr w:type="spellStart"/>
      <w:r>
        <w:rPr>
          <w:b/>
        </w:rPr>
        <w:t>Obtaining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CO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conversion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catalytic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electrodes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</w:t>
      </w:r>
      <w:proofErr w:type="spellEnd"/>
      <w:r>
        <w:rPr>
          <w:b/>
        </w:rPr>
        <w:t>/</w:t>
      </w:r>
      <w:proofErr w:type="spellStart"/>
      <w:r>
        <w:rPr>
          <w:b/>
        </w:rPr>
        <w:t>AuNPs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galvanic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replacement</w:t>
      </w:r>
      <w:proofErr w:type="spellEnd"/>
      <w:r>
        <w:rPr>
          <w:b/>
        </w:rPr>
        <w:t xml:space="preserve">  </w:t>
      </w:r>
    </w:p>
    <w:p w14:paraId="00000004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Zozulya</w:t>
      </w:r>
      <w:proofErr w:type="spellEnd"/>
      <w:r>
        <w:rPr>
          <w:b/>
          <w:sz w:val="20"/>
          <w:szCs w:val="20"/>
          <w:u w:val="single"/>
        </w:rPr>
        <w:t xml:space="preserve"> G.I.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Kuntyi</w:t>
      </w:r>
      <w:proofErr w:type="spellEnd"/>
      <w:r>
        <w:rPr>
          <w:b/>
          <w:sz w:val="20"/>
          <w:szCs w:val="20"/>
        </w:rPr>
        <w:t xml:space="preserve"> O.I., </w:t>
      </w:r>
      <w:proofErr w:type="spellStart"/>
      <w:r>
        <w:rPr>
          <w:b/>
          <w:sz w:val="20"/>
          <w:szCs w:val="20"/>
        </w:rPr>
        <w:t>Shepida</w:t>
      </w:r>
      <w:proofErr w:type="spellEnd"/>
      <w:r>
        <w:rPr>
          <w:b/>
          <w:sz w:val="20"/>
          <w:szCs w:val="20"/>
        </w:rPr>
        <w:t xml:space="preserve"> M.V., </w:t>
      </w:r>
      <w:proofErr w:type="spellStart"/>
      <w:r>
        <w:rPr>
          <w:b/>
          <w:sz w:val="20"/>
          <w:szCs w:val="20"/>
        </w:rPr>
        <w:t>Mazur</w:t>
      </w:r>
      <w:proofErr w:type="spellEnd"/>
      <w:r>
        <w:rPr>
          <w:b/>
          <w:sz w:val="20"/>
          <w:szCs w:val="20"/>
        </w:rPr>
        <w:t xml:space="preserve"> A.S. </w:t>
      </w:r>
    </w:p>
    <w:p w14:paraId="00000005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Department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Chemistry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Technology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Inorganic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Substances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Lviv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Polytechnic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National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University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Bandera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</w:t>
      </w:r>
      <w:proofErr w:type="spellEnd"/>
      <w:r>
        <w:rPr>
          <w:i/>
          <w:sz w:val="20"/>
          <w:szCs w:val="20"/>
        </w:rPr>
        <w:t xml:space="preserve">., 12, Lviv-79013, </w:t>
      </w:r>
      <w:proofErr w:type="spellStart"/>
      <w:r>
        <w:rPr>
          <w:i/>
          <w:sz w:val="20"/>
          <w:szCs w:val="20"/>
        </w:rPr>
        <w:t>Ukraine</w:t>
      </w:r>
      <w:proofErr w:type="spellEnd"/>
      <w:r>
        <w:rPr>
          <w:i/>
          <w:sz w:val="20"/>
          <w:szCs w:val="20"/>
        </w:rPr>
        <w:t>.</w:t>
      </w:r>
    </w:p>
    <w:p w14:paraId="00000006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FF"/>
          <w:sz w:val="20"/>
          <w:szCs w:val="20"/>
          <w:u w:val="single"/>
        </w:rPr>
      </w:pPr>
      <w:r>
        <w:rPr>
          <w:i/>
          <w:sz w:val="20"/>
          <w:szCs w:val="20"/>
        </w:rPr>
        <w:t>E-</w:t>
      </w:r>
      <w:proofErr w:type="spellStart"/>
      <w:r>
        <w:rPr>
          <w:i/>
          <w:sz w:val="20"/>
          <w:szCs w:val="20"/>
        </w:rPr>
        <w:t>mail</w:t>
      </w:r>
      <w:proofErr w:type="spellEnd"/>
      <w:r>
        <w:rPr>
          <w:i/>
          <w:sz w:val="20"/>
          <w:szCs w:val="20"/>
        </w:rPr>
        <w:t xml:space="preserve">: </w:t>
      </w:r>
      <w:hyperlink r:id="rId5">
        <w:r>
          <w:rPr>
            <w:i/>
            <w:color w:val="0000FF"/>
            <w:sz w:val="20"/>
            <w:szCs w:val="20"/>
            <w:u w:val="single"/>
          </w:rPr>
          <w:t>gzozula@ukr.net</w:t>
        </w:r>
      </w:hyperlink>
    </w:p>
    <w:p w14:paraId="00000007" w14:textId="77777777" w:rsidR="00FB023D" w:rsidRDefault="00FB023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0000008" w14:textId="788DCDF8" w:rsidR="00FB023D" w:rsidRDefault="00A1060C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Electrochemical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utilization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efficient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synthesis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CO, CH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, </w:t>
      </w:r>
      <w:r w:rsidR="00FB0D39" w:rsidRPr="00FB0D39">
        <w:rPr>
          <w:sz w:val="20"/>
          <w:szCs w:val="20"/>
        </w:rPr>
        <w:t>НСООН</w:t>
      </w:r>
      <w:r>
        <w:rPr>
          <w:sz w:val="20"/>
          <w:szCs w:val="20"/>
        </w:rPr>
        <w:t>, CH</w:t>
      </w:r>
      <w:r w:rsidRPr="00FB0D39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OH,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cathodic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conversion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aqueous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doesn't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selectivity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</w:t>
      </w:r>
      <w:r>
        <w:rPr>
          <w:sz w:val="20"/>
          <w:szCs w:val="20"/>
        </w:rPr>
        <w:t>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decade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non-aqueous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synthesis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substances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yields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realized</w:t>
      </w:r>
      <w:proofErr w:type="spellEnd"/>
      <w:r>
        <w:rPr>
          <w:sz w:val="20"/>
          <w:szCs w:val="20"/>
        </w:rPr>
        <w:t xml:space="preserve"> [1].</w:t>
      </w:r>
    </w:p>
    <w:p w14:paraId="00000009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catalytically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electrodes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cathodes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Cu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MNPs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modified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high-efficiency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Pd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methods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controlled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galvanic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replacement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non-aqueous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solutions</w:t>
      </w:r>
      <w:proofErr w:type="spellEnd"/>
      <w:r>
        <w:rPr>
          <w:sz w:val="20"/>
          <w:szCs w:val="20"/>
        </w:rPr>
        <w:t xml:space="preserve"> [2].</w:t>
      </w:r>
    </w:p>
    <w:p w14:paraId="0000000A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AuNPs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deposition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copper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surface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galvanic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replacement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solvents</w:t>
      </w:r>
      <w:proofErr w:type="spellEnd"/>
      <w:r>
        <w:rPr>
          <w:sz w:val="20"/>
          <w:szCs w:val="20"/>
        </w:rPr>
        <w:t xml:space="preserve"> (DMSO, DMF, AN)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dependence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deposited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nanoparticles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geometry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distribution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surface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precursor</w:t>
      </w:r>
      <w:proofErr w:type="spellEnd"/>
      <w:r>
        <w:rPr>
          <w:sz w:val="20"/>
          <w:szCs w:val="20"/>
        </w:rPr>
        <w:t xml:space="preserve"> (HAuCl</w:t>
      </w:r>
      <w:r w:rsidRPr="00FB0D39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ultrasonic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controlled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nanostructures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HAuCl</w:t>
      </w:r>
      <w:r w:rsidRPr="00FB0D39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galv</w:t>
      </w:r>
      <w:r>
        <w:rPr>
          <w:sz w:val="20"/>
          <w:szCs w:val="20"/>
        </w:rPr>
        <w:t>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replacement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Ultrasonic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mainly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factor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speeding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</w:t>
      </w:r>
      <w:proofErr w:type="spellEnd"/>
      <w:r>
        <w:rPr>
          <w:sz w:val="20"/>
          <w:szCs w:val="20"/>
        </w:rPr>
        <w:t>.</w:t>
      </w:r>
    </w:p>
    <w:p w14:paraId="0000000B" w14:textId="77777777" w:rsidR="00FB023D" w:rsidRDefault="00A1060C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dependence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catalytic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obtained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AuNPs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cathodes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acetonitrile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AuNPs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filling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surface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Based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conditions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efficiency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electrochemical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</w:t>
      </w:r>
      <w:r w:rsidRPr="00FB0D39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14:paraId="0000000C" w14:textId="77777777" w:rsidR="00FB023D" w:rsidRDefault="00FB023D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sz w:val="20"/>
          <w:szCs w:val="20"/>
        </w:rPr>
      </w:pPr>
    </w:p>
    <w:p w14:paraId="0000000D" w14:textId="77777777" w:rsidR="00FB023D" w:rsidRDefault="00FB023D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0"/>
          <w:szCs w:val="20"/>
        </w:rPr>
      </w:pPr>
    </w:p>
    <w:p w14:paraId="0000000E" w14:textId="77777777" w:rsidR="00FB023D" w:rsidRDefault="00A1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</w:pPr>
      <w:proofErr w:type="spellStart"/>
      <w:r>
        <w:rPr>
          <w:i/>
          <w:sz w:val="20"/>
          <w:szCs w:val="20"/>
        </w:rPr>
        <w:t>Maniam</w:t>
      </w:r>
      <w:proofErr w:type="spellEnd"/>
      <w:r>
        <w:rPr>
          <w:i/>
          <w:sz w:val="20"/>
          <w:szCs w:val="20"/>
        </w:rPr>
        <w:t xml:space="preserve"> K.K., </w:t>
      </w:r>
      <w:proofErr w:type="spellStart"/>
      <w:r>
        <w:rPr>
          <w:i/>
          <w:sz w:val="20"/>
          <w:szCs w:val="20"/>
        </w:rPr>
        <w:t>Paul</w:t>
      </w:r>
      <w:proofErr w:type="spellEnd"/>
      <w:r>
        <w:rPr>
          <w:i/>
          <w:sz w:val="20"/>
          <w:szCs w:val="20"/>
        </w:rPr>
        <w:t xml:space="preserve"> S.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Liquids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Eutectic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Solvents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Conversion</w:t>
      </w:r>
      <w:proofErr w:type="spellEnd"/>
      <w:r>
        <w:rPr>
          <w:sz w:val="20"/>
          <w:szCs w:val="20"/>
        </w:rPr>
        <w:t xml:space="preserve"> Technologies – A 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 xml:space="preserve"> // </w:t>
      </w:r>
      <w:proofErr w:type="spellStart"/>
      <w:r>
        <w:rPr>
          <w:sz w:val="20"/>
          <w:szCs w:val="20"/>
        </w:rPr>
        <w:t>Mate</w:t>
      </w:r>
      <w:r>
        <w:rPr>
          <w:sz w:val="20"/>
          <w:szCs w:val="20"/>
        </w:rPr>
        <w:t>rials</w:t>
      </w:r>
      <w:proofErr w:type="spellEnd"/>
      <w:r>
        <w:rPr>
          <w:sz w:val="20"/>
          <w:szCs w:val="20"/>
        </w:rPr>
        <w:t xml:space="preserve">. – 2021. – </w:t>
      </w:r>
      <w:r>
        <w:rPr>
          <w:b/>
          <w:sz w:val="20"/>
          <w:szCs w:val="20"/>
        </w:rPr>
        <w:t>14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16</w:t>
      </w:r>
      <w:r>
        <w:rPr>
          <w:sz w:val="20"/>
          <w:szCs w:val="20"/>
        </w:rPr>
        <w:t>). – 4519.</w:t>
      </w:r>
    </w:p>
    <w:p w14:paraId="0000000F" w14:textId="77777777" w:rsidR="00FB023D" w:rsidRDefault="00A1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</w:pPr>
      <w:proofErr w:type="spellStart"/>
      <w:r>
        <w:rPr>
          <w:i/>
          <w:sz w:val="20"/>
          <w:szCs w:val="20"/>
        </w:rPr>
        <w:t>Kuntyi</w:t>
      </w:r>
      <w:proofErr w:type="spellEnd"/>
      <w:r>
        <w:rPr>
          <w:i/>
          <w:sz w:val="20"/>
          <w:szCs w:val="20"/>
        </w:rPr>
        <w:t xml:space="preserve"> O.I., </w:t>
      </w:r>
      <w:proofErr w:type="spellStart"/>
      <w:r>
        <w:rPr>
          <w:i/>
          <w:sz w:val="20"/>
          <w:szCs w:val="20"/>
        </w:rPr>
        <w:t>Zozulya</w:t>
      </w:r>
      <w:proofErr w:type="spellEnd"/>
      <w:r>
        <w:rPr>
          <w:i/>
          <w:sz w:val="20"/>
          <w:szCs w:val="20"/>
        </w:rPr>
        <w:t xml:space="preserve"> G.I., </w:t>
      </w:r>
      <w:proofErr w:type="spellStart"/>
      <w:r>
        <w:rPr>
          <w:i/>
          <w:sz w:val="20"/>
          <w:szCs w:val="20"/>
        </w:rPr>
        <w:t>Shepida</w:t>
      </w:r>
      <w:proofErr w:type="spellEnd"/>
      <w:r>
        <w:rPr>
          <w:i/>
          <w:sz w:val="20"/>
          <w:szCs w:val="20"/>
        </w:rPr>
        <w:t xml:space="preserve"> M.V. </w:t>
      </w:r>
      <w:proofErr w:type="spellStart"/>
      <w:r>
        <w:rPr>
          <w:sz w:val="20"/>
          <w:szCs w:val="20"/>
        </w:rPr>
        <w:t>Nanoscale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galvanic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replacement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non-aqueous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mini-review</w:t>
      </w:r>
      <w:proofErr w:type="spellEnd"/>
      <w:r>
        <w:rPr>
          <w:sz w:val="20"/>
          <w:szCs w:val="20"/>
        </w:rPr>
        <w:t xml:space="preserve"> // </w:t>
      </w:r>
      <w:proofErr w:type="spellStart"/>
      <w:r>
        <w:rPr>
          <w:sz w:val="20"/>
          <w:szCs w:val="20"/>
        </w:rPr>
        <w:t>Voprosy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Tekhnol</w:t>
      </w:r>
      <w:proofErr w:type="spellEnd"/>
      <w:r>
        <w:rPr>
          <w:sz w:val="20"/>
          <w:szCs w:val="20"/>
        </w:rPr>
        <w:t>. – 2020. – N</w:t>
      </w:r>
      <w:r>
        <w:rPr>
          <w:b/>
          <w:sz w:val="20"/>
          <w:szCs w:val="20"/>
        </w:rPr>
        <w:t xml:space="preserve"> 4</w:t>
      </w:r>
      <w:r>
        <w:rPr>
          <w:sz w:val="20"/>
          <w:szCs w:val="20"/>
        </w:rPr>
        <w:t>. – P. 5-15.</w:t>
      </w:r>
    </w:p>
    <w:p w14:paraId="00000010" w14:textId="77777777" w:rsidR="00FB023D" w:rsidRDefault="00FB02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sz w:val="20"/>
          <w:szCs w:val="20"/>
        </w:rPr>
      </w:pPr>
    </w:p>
    <w:sectPr w:rsidR="00FB023D">
      <w:pgSz w:w="8395" w:h="11909"/>
      <w:pgMar w:top="851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B49"/>
    <w:multiLevelType w:val="multilevel"/>
    <w:tmpl w:val="081A2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37003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3D"/>
    <w:rsid w:val="004705F6"/>
    <w:rsid w:val="00A1060C"/>
    <w:rsid w:val="00FB023D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C1A2-8A1F-4F16-85EB-9515CFC9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ozu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Зозуля</cp:lastModifiedBy>
  <cp:revision>4</cp:revision>
  <dcterms:created xsi:type="dcterms:W3CDTF">2022-05-25T10:28:00Z</dcterms:created>
  <dcterms:modified xsi:type="dcterms:W3CDTF">2022-05-25T10:33:00Z</dcterms:modified>
</cp:coreProperties>
</file>