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B6" w:rsidRPr="0055260F" w:rsidRDefault="00A01DB6" w:rsidP="00A01DB6">
      <w:pPr>
        <w:spacing w:after="0"/>
        <w:ind w:firstLine="709"/>
        <w:jc w:val="both"/>
        <w:rPr>
          <w:rFonts w:ascii="Times New Roman" w:hAnsi="Times New Roman" w:cs="Times New Roman"/>
          <w:b/>
          <w:sz w:val="24"/>
          <w:szCs w:val="24"/>
        </w:rPr>
      </w:pPr>
      <w:r>
        <w:rPr>
          <w:rFonts w:ascii="Times New Roman" w:hAnsi="Times New Roman" w:cs="Times New Roman"/>
          <w:b/>
          <w:sz w:val="24"/>
          <w:szCs w:val="24"/>
          <w:lang w:val="en-US"/>
        </w:rPr>
        <w:t>T</w:t>
      </w:r>
      <w:r w:rsidRPr="0055260F">
        <w:rPr>
          <w:rFonts w:ascii="Times New Roman" w:hAnsi="Times New Roman" w:cs="Times New Roman"/>
          <w:b/>
          <w:sz w:val="24"/>
          <w:szCs w:val="24"/>
        </w:rPr>
        <w:t xml:space="preserve">heoretical </w:t>
      </w:r>
      <w:proofErr w:type="spellStart"/>
      <w:r w:rsidRPr="0055260F">
        <w:rPr>
          <w:rFonts w:ascii="Times New Roman" w:hAnsi="Times New Roman" w:cs="Times New Roman"/>
          <w:b/>
          <w:sz w:val="24"/>
          <w:szCs w:val="24"/>
        </w:rPr>
        <w:t>prerequisites</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for</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the</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use</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of</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preparations</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based</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on</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metallic</w:t>
      </w:r>
      <w:proofErr w:type="spellEnd"/>
      <w:r w:rsidRPr="0055260F">
        <w:rPr>
          <w:rFonts w:ascii="Times New Roman" w:hAnsi="Times New Roman" w:cs="Times New Roman"/>
          <w:b/>
          <w:sz w:val="24"/>
          <w:szCs w:val="24"/>
        </w:rPr>
        <w:t xml:space="preserve"> </w:t>
      </w:r>
      <w:proofErr w:type="spellStart"/>
      <w:r w:rsidRPr="0055260F">
        <w:rPr>
          <w:rFonts w:ascii="Times New Roman" w:hAnsi="Times New Roman" w:cs="Times New Roman"/>
          <w:b/>
          <w:sz w:val="24"/>
          <w:szCs w:val="24"/>
        </w:rPr>
        <w:t>nanoparticles</w:t>
      </w:r>
      <w:proofErr w:type="spellEnd"/>
    </w:p>
    <w:p w:rsidR="00A01DB6" w:rsidRDefault="00A01DB6" w:rsidP="00A01DB6">
      <w:pPr>
        <w:spacing w:after="0"/>
        <w:ind w:firstLine="709"/>
        <w:jc w:val="both"/>
        <w:rPr>
          <w:rFonts w:ascii="Times New Roman" w:hAnsi="Times New Roman" w:cs="Times New Roman"/>
          <w:sz w:val="24"/>
          <w:szCs w:val="24"/>
        </w:rPr>
      </w:pPr>
    </w:p>
    <w:p w:rsidR="00A01DB6" w:rsidRDefault="00A01DB6" w:rsidP="00A01DB6">
      <w:pPr>
        <w:spacing w:after="0"/>
        <w:ind w:firstLine="709"/>
        <w:jc w:val="both"/>
        <w:rPr>
          <w:rFonts w:ascii="Times New Roman" w:hAnsi="Times New Roman" w:cs="Times New Roman"/>
          <w:sz w:val="24"/>
          <w:szCs w:val="24"/>
        </w:rPr>
      </w:pPr>
      <w:r w:rsidRPr="000E1A0C">
        <w:rPr>
          <w:rFonts w:ascii="Times New Roman" w:hAnsi="Times New Roman" w:cs="Times New Roman"/>
          <w:sz w:val="24"/>
          <w:szCs w:val="24"/>
          <w:lang w:val="en-US"/>
        </w:rPr>
        <w:t>Lopatko S.,</w:t>
      </w:r>
      <w:r>
        <w:rPr>
          <w:rFonts w:ascii="Times New Roman" w:hAnsi="Times New Roman" w:cs="Times New Roman"/>
          <w:sz w:val="24"/>
          <w:szCs w:val="24"/>
          <w:u w:val="single"/>
          <w:lang w:val="en-US"/>
        </w:rPr>
        <w:t xml:space="preserve"> </w:t>
      </w:r>
      <w:proofErr w:type="spellStart"/>
      <w:r w:rsidRPr="000E1A0C">
        <w:rPr>
          <w:rFonts w:ascii="Times New Roman" w:hAnsi="Times New Roman" w:cs="Times New Roman"/>
          <w:sz w:val="24"/>
          <w:szCs w:val="24"/>
          <w:lang w:val="en-US"/>
        </w:rPr>
        <w:t>Vinrchuk</w:t>
      </w:r>
      <w:proofErr w:type="spellEnd"/>
      <w:r w:rsidRPr="000E1A0C">
        <w:rPr>
          <w:rFonts w:ascii="Times New Roman" w:hAnsi="Times New Roman" w:cs="Times New Roman"/>
          <w:sz w:val="24"/>
          <w:szCs w:val="24"/>
          <w:lang w:val="en-US"/>
        </w:rPr>
        <w:t xml:space="preserve"> K</w:t>
      </w:r>
      <w:proofErr w:type="gramStart"/>
      <w:r w:rsidRPr="000E1A0C">
        <w:rPr>
          <w:rFonts w:ascii="Times New Roman" w:hAnsi="Times New Roman" w:cs="Times New Roman"/>
          <w:sz w:val="24"/>
          <w:szCs w:val="24"/>
          <w:lang w:val="en-US"/>
        </w:rPr>
        <w:t xml:space="preserve">,  </w:t>
      </w:r>
      <w:proofErr w:type="spellStart"/>
      <w:r w:rsidRPr="000E1A0C">
        <w:rPr>
          <w:rFonts w:ascii="Times New Roman" w:hAnsi="Times New Roman" w:cs="Times New Roman"/>
          <w:sz w:val="24"/>
          <w:szCs w:val="24"/>
          <w:u w:val="single"/>
          <w:lang w:val="en-US"/>
        </w:rPr>
        <w:t>Lopatko</w:t>
      </w:r>
      <w:proofErr w:type="spellEnd"/>
      <w:proofErr w:type="gramEnd"/>
      <w:r w:rsidRPr="000E1A0C">
        <w:rPr>
          <w:rFonts w:ascii="Times New Roman" w:hAnsi="Times New Roman" w:cs="Times New Roman"/>
          <w:sz w:val="24"/>
          <w:szCs w:val="24"/>
          <w:u w:val="single"/>
          <w:lang w:val="en-US"/>
        </w:rPr>
        <w:t xml:space="preserve"> K.,</w:t>
      </w:r>
      <w:r w:rsidRPr="004F4842">
        <w:rPr>
          <w:rFonts w:ascii="Times New Roman" w:hAnsi="Times New Roman" w:cs="Times New Roman"/>
          <w:sz w:val="24"/>
          <w:szCs w:val="24"/>
          <w:lang w:val="en-US"/>
        </w:rPr>
        <w:t xml:space="preserve"> </w:t>
      </w:r>
      <w:proofErr w:type="spellStart"/>
      <w:r w:rsidRPr="004F4842">
        <w:rPr>
          <w:rFonts w:ascii="Times New Roman" w:hAnsi="Times New Roman" w:cs="Times New Roman"/>
          <w:sz w:val="24"/>
          <w:szCs w:val="24"/>
          <w:lang w:val="en-US"/>
        </w:rPr>
        <w:t>Aftandilyants</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Chaika</w:t>
      </w:r>
      <w:proofErr w:type="spellEnd"/>
      <w:r>
        <w:rPr>
          <w:rFonts w:ascii="Times New Roman" w:hAnsi="Times New Roman" w:cs="Times New Roman"/>
          <w:sz w:val="24"/>
          <w:szCs w:val="24"/>
          <w:lang w:val="en-US"/>
        </w:rPr>
        <w:t xml:space="preserve"> V.</w:t>
      </w:r>
    </w:p>
    <w:p w:rsidR="00A01DB6" w:rsidRDefault="00A01DB6" w:rsidP="00A01DB6">
      <w:pPr>
        <w:spacing w:after="0"/>
        <w:ind w:firstLine="709"/>
        <w:jc w:val="both"/>
        <w:rPr>
          <w:rFonts w:ascii="Times New Roman" w:hAnsi="Times New Roman" w:cs="Times New Roman"/>
          <w:i/>
          <w:sz w:val="24"/>
          <w:szCs w:val="24"/>
          <w:vertAlign w:val="superscript"/>
          <w:lang w:val="en-US"/>
        </w:rPr>
      </w:pPr>
    </w:p>
    <w:p w:rsidR="00A01DB6" w:rsidRPr="004F4842" w:rsidRDefault="00A01DB6" w:rsidP="00A01DB6">
      <w:pPr>
        <w:spacing w:after="0"/>
        <w:ind w:firstLine="709"/>
        <w:jc w:val="both"/>
        <w:rPr>
          <w:rFonts w:ascii="Times New Roman" w:hAnsi="Times New Roman" w:cs="Times New Roman"/>
          <w:i/>
          <w:sz w:val="24"/>
          <w:szCs w:val="24"/>
          <w:lang w:val="en-US"/>
        </w:rPr>
      </w:pPr>
      <w:r w:rsidRPr="004F4842">
        <w:rPr>
          <w:rFonts w:ascii="Times New Roman" w:hAnsi="Times New Roman" w:cs="Times New Roman"/>
          <w:i/>
          <w:sz w:val="24"/>
          <w:szCs w:val="24"/>
          <w:lang w:val="en-US"/>
        </w:rPr>
        <w:t xml:space="preserve">National University of Life and Environmental Sciences of Ukraine, 15, </w:t>
      </w:r>
      <w:proofErr w:type="spellStart"/>
      <w:r w:rsidRPr="004F4842">
        <w:rPr>
          <w:rFonts w:ascii="Times New Roman" w:hAnsi="Times New Roman" w:cs="Times New Roman"/>
          <w:i/>
          <w:sz w:val="24"/>
          <w:szCs w:val="24"/>
          <w:lang w:val="en-US"/>
        </w:rPr>
        <w:t>Heroyiv</w:t>
      </w:r>
      <w:proofErr w:type="spellEnd"/>
      <w:r w:rsidRPr="004F4842">
        <w:rPr>
          <w:rFonts w:ascii="Times New Roman" w:hAnsi="Times New Roman" w:cs="Times New Roman"/>
          <w:i/>
          <w:sz w:val="24"/>
          <w:szCs w:val="24"/>
          <w:lang w:val="en-US"/>
        </w:rPr>
        <w:t xml:space="preserve"> </w:t>
      </w:r>
      <w:proofErr w:type="spellStart"/>
      <w:r w:rsidRPr="004F4842">
        <w:rPr>
          <w:rFonts w:ascii="Times New Roman" w:hAnsi="Times New Roman" w:cs="Times New Roman"/>
          <w:i/>
          <w:sz w:val="24"/>
          <w:szCs w:val="24"/>
          <w:lang w:val="en-US"/>
        </w:rPr>
        <w:t>Oborony</w:t>
      </w:r>
      <w:proofErr w:type="spellEnd"/>
      <w:r w:rsidRPr="004F4842">
        <w:rPr>
          <w:rFonts w:ascii="Times New Roman" w:hAnsi="Times New Roman" w:cs="Times New Roman"/>
          <w:i/>
          <w:sz w:val="24"/>
          <w:szCs w:val="24"/>
          <w:lang w:val="en-US"/>
        </w:rPr>
        <w:t> Str., Kiev, 03041, lopatko_konst@hotmail.com</w:t>
      </w:r>
    </w:p>
    <w:p w:rsidR="00A01DB6" w:rsidRDefault="00A01DB6" w:rsidP="00A01DB6">
      <w:pPr>
        <w:spacing w:after="0"/>
        <w:ind w:firstLine="709"/>
        <w:jc w:val="both"/>
        <w:rPr>
          <w:rFonts w:ascii="Times New Roman" w:hAnsi="Times New Roman" w:cs="Times New Roman"/>
          <w:sz w:val="24"/>
          <w:szCs w:val="24"/>
        </w:rPr>
      </w:pPr>
    </w:p>
    <w:p w:rsidR="00A01DB6" w:rsidRPr="0055260F" w:rsidRDefault="00A01DB6" w:rsidP="00A01DB6">
      <w:pPr>
        <w:spacing w:after="0"/>
        <w:ind w:firstLine="709"/>
        <w:jc w:val="both"/>
        <w:rPr>
          <w:rFonts w:ascii="Times New Roman" w:hAnsi="Times New Roman" w:cs="Times New Roman"/>
          <w:sz w:val="24"/>
          <w:szCs w:val="24"/>
        </w:rPr>
      </w:pPr>
    </w:p>
    <w:p w:rsidR="00A01DB6" w:rsidRPr="004F4842" w:rsidRDefault="00A01DB6" w:rsidP="00A01DB6">
      <w:pPr>
        <w:spacing w:after="0"/>
        <w:ind w:firstLine="709"/>
        <w:jc w:val="both"/>
        <w:rPr>
          <w:rFonts w:ascii="Times New Roman" w:hAnsi="Times New Roman" w:cs="Times New Roman"/>
          <w:sz w:val="24"/>
          <w:szCs w:val="24"/>
          <w:lang w:val="en-US"/>
        </w:rPr>
      </w:pPr>
      <w:r w:rsidRPr="004F4842">
        <w:rPr>
          <w:rFonts w:ascii="Times New Roman" w:hAnsi="Times New Roman" w:cs="Times New Roman"/>
          <w:sz w:val="24"/>
          <w:szCs w:val="24"/>
          <w:lang w:val="en-US"/>
        </w:rPr>
        <w:t xml:space="preserve">The nutrition of the biological injection of nanomaterials, their toxicity and the ability </w:t>
      </w:r>
      <w:proofErr w:type="gramStart"/>
      <w:r w:rsidRPr="004F4842">
        <w:rPr>
          <w:rFonts w:ascii="Times New Roman" w:hAnsi="Times New Roman" w:cs="Times New Roman"/>
          <w:sz w:val="24"/>
          <w:szCs w:val="24"/>
          <w:lang w:val="en-US"/>
        </w:rPr>
        <w:t>to positively contribute</w:t>
      </w:r>
      <w:proofErr w:type="gramEnd"/>
      <w:r w:rsidRPr="004F4842">
        <w:rPr>
          <w:rFonts w:ascii="Times New Roman" w:hAnsi="Times New Roman" w:cs="Times New Roman"/>
          <w:sz w:val="24"/>
          <w:szCs w:val="24"/>
          <w:lang w:val="en-US"/>
        </w:rPr>
        <w:t xml:space="preserve"> to the metabolic processes and the physiological state of the organism as a whole, is becoming the key to the fundamental interactions of nanoparticles with the biological medium.</w:t>
      </w:r>
    </w:p>
    <w:p w:rsidR="00A01DB6" w:rsidRPr="0055260F" w:rsidRDefault="00A01DB6" w:rsidP="00A01DB6">
      <w:pPr>
        <w:spacing w:after="0"/>
        <w:ind w:firstLine="709"/>
        <w:jc w:val="both"/>
        <w:rPr>
          <w:rFonts w:ascii="Times New Roman" w:hAnsi="Times New Roman" w:cs="Times New Roman"/>
          <w:sz w:val="24"/>
          <w:szCs w:val="24"/>
          <w:lang w:val="en-US"/>
        </w:rPr>
      </w:pPr>
      <w:r w:rsidRPr="0055260F">
        <w:rPr>
          <w:rFonts w:ascii="Times New Roman" w:hAnsi="Times New Roman" w:cs="Times New Roman"/>
          <w:sz w:val="24"/>
          <w:szCs w:val="24"/>
          <w:lang w:val="en-US"/>
        </w:rPr>
        <w:t xml:space="preserve">Because the basic properties of nanomaterials </w:t>
      </w:r>
      <w:proofErr w:type="gramStart"/>
      <w:r w:rsidRPr="0055260F">
        <w:rPr>
          <w:rFonts w:ascii="Times New Roman" w:hAnsi="Times New Roman" w:cs="Times New Roman"/>
          <w:sz w:val="24"/>
          <w:szCs w:val="24"/>
          <w:lang w:val="en-US"/>
        </w:rPr>
        <w:t>are formed</w:t>
      </w:r>
      <w:proofErr w:type="gramEnd"/>
      <w:r w:rsidRPr="0055260F">
        <w:rPr>
          <w:rFonts w:ascii="Times New Roman" w:hAnsi="Times New Roman" w:cs="Times New Roman"/>
          <w:sz w:val="24"/>
          <w:szCs w:val="24"/>
          <w:lang w:val="en-US"/>
        </w:rPr>
        <w:t xml:space="preserve"> at the stage of their formation, the issues of biological efficiency are closely related to the kinetics of processes occurring in the reaction zone. There are prerequisites for obtaining materials with a sharply unbalanced structure, which means with an increased level of free energy and, therefore, increased ability to interact with the environment. The size of nanoparticles significantly affects the expected result of their application, but this is not the only important parameter of their state. The presence of other factors, such as structural-phase composition, particle shape, surface charge, preparative form of nanomaterial, acidity of the environment, processes that characterize the functionality of a particular system, directly affect the efficiency of nanomaterials.</w:t>
      </w:r>
    </w:p>
    <w:p w:rsidR="00A01DB6" w:rsidRPr="0055260F" w:rsidRDefault="00A01DB6" w:rsidP="00A01DB6">
      <w:pPr>
        <w:ind w:firstLine="709"/>
        <w:jc w:val="both"/>
        <w:rPr>
          <w:rFonts w:ascii="Times New Roman" w:hAnsi="Times New Roman" w:cs="Times New Roman"/>
          <w:sz w:val="24"/>
          <w:szCs w:val="24"/>
          <w:lang w:val="en-US"/>
        </w:rPr>
      </w:pPr>
      <w:r w:rsidRPr="0055260F">
        <w:rPr>
          <w:rFonts w:ascii="Times New Roman" w:hAnsi="Times New Roman" w:cs="Times New Roman"/>
          <w:sz w:val="24"/>
          <w:szCs w:val="24"/>
        </w:rPr>
        <w:t xml:space="preserve">Phase </w:t>
      </w:r>
      <w:proofErr w:type="spellStart"/>
      <w:r w:rsidRPr="0055260F">
        <w:rPr>
          <w:rFonts w:ascii="Times New Roman" w:hAnsi="Times New Roman" w:cs="Times New Roman"/>
          <w:sz w:val="24"/>
          <w:szCs w:val="24"/>
        </w:rPr>
        <w:t>and</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chemical</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composition</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of</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nanoparticles</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crystal</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lattice</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parameters</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and</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dimensions</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of</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coherent</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scattering</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regions</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in</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the</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state</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of</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production</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are</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given</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in</w:t>
      </w:r>
      <w:proofErr w:type="spellEnd"/>
      <w:r w:rsidRPr="0055260F">
        <w:rPr>
          <w:rFonts w:ascii="Times New Roman" w:hAnsi="Times New Roman" w:cs="Times New Roman"/>
          <w:sz w:val="24"/>
          <w:szCs w:val="24"/>
        </w:rPr>
        <w:t xml:space="preserve"> </w:t>
      </w:r>
      <w:proofErr w:type="spellStart"/>
      <w:r w:rsidRPr="0055260F">
        <w:rPr>
          <w:rFonts w:ascii="Times New Roman" w:hAnsi="Times New Roman" w:cs="Times New Roman"/>
          <w:sz w:val="24"/>
          <w:szCs w:val="24"/>
        </w:rPr>
        <w:t>table</w:t>
      </w:r>
      <w:proofErr w:type="spellEnd"/>
      <w:r w:rsidRPr="0055260F">
        <w:rPr>
          <w:rFonts w:ascii="Times New Roman" w:hAnsi="Times New Roman" w:cs="Times New Roman"/>
          <w:sz w:val="24"/>
          <w:szCs w:val="24"/>
          <w:lang w:val="en-US"/>
        </w:rPr>
        <w:t>.</w:t>
      </w:r>
    </w:p>
    <w:p w:rsidR="00A01DB6" w:rsidRPr="0055260F" w:rsidRDefault="00A01DB6" w:rsidP="00A01DB6">
      <w:pPr>
        <w:ind w:firstLine="709"/>
        <w:jc w:val="both"/>
        <w:rPr>
          <w:rFonts w:ascii="Times New Roman" w:hAnsi="Times New Roman" w:cs="Times New Roman"/>
          <w:sz w:val="24"/>
          <w:szCs w:val="24"/>
          <w:lang w:val="en-US"/>
        </w:rPr>
      </w:pPr>
    </w:p>
    <w:tbl>
      <w:tblPr>
        <w:tblStyle w:val="a3"/>
        <w:tblW w:w="0" w:type="auto"/>
        <w:tblInd w:w="562" w:type="dxa"/>
        <w:tblLayout w:type="fixed"/>
        <w:tblLook w:val="04A0" w:firstRow="1" w:lastRow="0" w:firstColumn="1" w:lastColumn="0" w:noHBand="0" w:noVBand="1"/>
      </w:tblPr>
      <w:tblGrid>
        <w:gridCol w:w="3828"/>
        <w:gridCol w:w="1275"/>
        <w:gridCol w:w="1418"/>
        <w:gridCol w:w="1276"/>
        <w:gridCol w:w="1269"/>
      </w:tblGrid>
      <w:tr w:rsidR="00A01DB6" w:rsidRPr="0055260F" w:rsidTr="00074481">
        <w:trPr>
          <w:trHeight w:val="752"/>
        </w:trPr>
        <w:tc>
          <w:tcPr>
            <w:tcW w:w="3828" w:type="dxa"/>
            <w:vMerge w:val="restart"/>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eastAsia="uk-UA"/>
              </w:rPr>
              <w:t xml:space="preserve">Characteristics </w:t>
            </w:r>
            <w:proofErr w:type="spellStart"/>
            <w:r w:rsidRPr="0055260F">
              <w:rPr>
                <w:rFonts w:ascii="Times New Roman" w:eastAsia="Times New Roman" w:hAnsi="Times New Roman" w:cs="Times New Roman"/>
                <w:b/>
                <w:bCs/>
                <w:sz w:val="24"/>
                <w:szCs w:val="24"/>
                <w:lang w:eastAsia="uk-UA"/>
              </w:rPr>
              <w:t>of</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Fe-containing</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phases</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in</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iron</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nanoparticles</w:t>
            </w:r>
            <w:proofErr w:type="spellEnd"/>
          </w:p>
        </w:tc>
        <w:tc>
          <w:tcPr>
            <w:tcW w:w="5238" w:type="dxa"/>
            <w:gridSpan w:val="4"/>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proofErr w:type="spellStart"/>
            <w:r w:rsidRPr="0055260F">
              <w:rPr>
                <w:rFonts w:ascii="Times New Roman" w:eastAsia="Times New Roman" w:hAnsi="Times New Roman" w:cs="Times New Roman"/>
                <w:b/>
                <w:bCs/>
                <w:sz w:val="24"/>
                <w:szCs w:val="24"/>
                <w:lang w:eastAsia="uk-UA"/>
              </w:rPr>
              <w:t>Type</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of</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crystalline</w:t>
            </w:r>
            <w:proofErr w:type="spellEnd"/>
            <w:r w:rsidRPr="0055260F">
              <w:rPr>
                <w:rFonts w:ascii="Times New Roman" w:eastAsia="Times New Roman" w:hAnsi="Times New Roman" w:cs="Times New Roman"/>
                <w:b/>
                <w:bCs/>
                <w:sz w:val="24"/>
                <w:szCs w:val="24"/>
                <w:lang w:eastAsia="uk-UA"/>
              </w:rPr>
              <w:t xml:space="preserve"> </w:t>
            </w:r>
            <w:proofErr w:type="spellStart"/>
            <w:r w:rsidRPr="0055260F">
              <w:rPr>
                <w:rFonts w:ascii="Times New Roman" w:eastAsia="Times New Roman" w:hAnsi="Times New Roman" w:cs="Times New Roman"/>
                <w:b/>
                <w:bCs/>
                <w:sz w:val="24"/>
                <w:szCs w:val="24"/>
                <w:lang w:eastAsia="uk-UA"/>
              </w:rPr>
              <w:t>phase</w:t>
            </w:r>
            <w:proofErr w:type="spellEnd"/>
          </w:p>
        </w:tc>
      </w:tr>
      <w:tr w:rsidR="00A01DB6" w:rsidRPr="0055260F" w:rsidTr="00074481">
        <w:trPr>
          <w:trHeight w:val="427"/>
        </w:trPr>
        <w:tc>
          <w:tcPr>
            <w:tcW w:w="3828" w:type="dxa"/>
            <w:vMerge/>
            <w:vAlign w:val="center"/>
          </w:tcPr>
          <w:p w:rsidR="00A01DB6" w:rsidRPr="0055260F" w:rsidRDefault="00A01DB6" w:rsidP="00074481">
            <w:pPr>
              <w:widowControl w:val="0"/>
              <w:autoSpaceDE w:val="0"/>
              <w:autoSpaceDN w:val="0"/>
              <w:adjustRightInd w:val="0"/>
              <w:jc w:val="both"/>
              <w:rPr>
                <w:rFonts w:ascii="Times New Roman" w:eastAsia="Times New Roman" w:hAnsi="Times New Roman" w:cs="Times New Roman"/>
                <w:bCs/>
                <w:sz w:val="24"/>
                <w:szCs w:val="24"/>
                <w:lang w:val="ru-RU" w:eastAsia="uk-UA"/>
              </w:rPr>
            </w:pPr>
          </w:p>
        </w:tc>
        <w:tc>
          <w:tcPr>
            <w:tcW w:w="1275"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α–Fe</w:t>
            </w:r>
          </w:p>
        </w:tc>
        <w:tc>
          <w:tcPr>
            <w:tcW w:w="1418"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sym w:font="Symbol" w:char="0067"/>
            </w:r>
            <w:r w:rsidRPr="0055260F">
              <w:rPr>
                <w:rFonts w:ascii="Times New Roman" w:eastAsia="Times New Roman" w:hAnsi="Times New Roman" w:cs="Times New Roman"/>
                <w:b/>
                <w:bCs/>
                <w:sz w:val="24"/>
                <w:szCs w:val="24"/>
                <w:lang w:val="ru-RU" w:eastAsia="uk-UA"/>
              </w:rPr>
              <w:t>–</w:t>
            </w:r>
            <w:proofErr w:type="spellStart"/>
            <w:r w:rsidRPr="0055260F">
              <w:rPr>
                <w:rFonts w:ascii="Times New Roman" w:eastAsia="Times New Roman" w:hAnsi="Times New Roman" w:cs="Times New Roman"/>
                <w:b/>
                <w:bCs/>
                <w:sz w:val="24"/>
                <w:szCs w:val="24"/>
                <w:lang w:val="ru-RU" w:eastAsia="uk-UA"/>
              </w:rPr>
              <w:t>Fe</w:t>
            </w:r>
            <w:proofErr w:type="spellEnd"/>
          </w:p>
        </w:tc>
        <w:tc>
          <w:tcPr>
            <w:tcW w:w="1276"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proofErr w:type="spellStart"/>
            <w:r w:rsidRPr="0055260F">
              <w:rPr>
                <w:rFonts w:ascii="Times New Roman" w:eastAsia="Times New Roman" w:hAnsi="Times New Roman" w:cs="Times New Roman"/>
                <w:b/>
                <w:bCs/>
                <w:sz w:val="24"/>
                <w:szCs w:val="24"/>
                <w:lang w:val="ru-RU" w:eastAsia="uk-UA"/>
              </w:rPr>
              <w:t>FeO</w:t>
            </w:r>
            <w:proofErr w:type="spellEnd"/>
          </w:p>
        </w:tc>
        <w:tc>
          <w:tcPr>
            <w:tcW w:w="1269"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Fe</w:t>
            </w:r>
            <w:r w:rsidRPr="0055260F">
              <w:rPr>
                <w:rFonts w:ascii="Times New Roman" w:eastAsia="Times New Roman" w:hAnsi="Times New Roman" w:cs="Times New Roman"/>
                <w:b/>
                <w:bCs/>
                <w:sz w:val="24"/>
                <w:szCs w:val="24"/>
                <w:vertAlign w:val="subscript"/>
                <w:lang w:val="ru-RU" w:eastAsia="uk-UA"/>
              </w:rPr>
              <w:t>3</w:t>
            </w:r>
            <w:r w:rsidRPr="0055260F">
              <w:rPr>
                <w:rFonts w:ascii="Times New Roman" w:eastAsia="Times New Roman" w:hAnsi="Times New Roman" w:cs="Times New Roman"/>
                <w:b/>
                <w:bCs/>
                <w:sz w:val="24"/>
                <w:szCs w:val="24"/>
                <w:lang w:val="ru-RU" w:eastAsia="uk-UA"/>
              </w:rPr>
              <w:t>O</w:t>
            </w:r>
            <w:r w:rsidRPr="0055260F">
              <w:rPr>
                <w:rFonts w:ascii="Times New Roman" w:eastAsia="Times New Roman" w:hAnsi="Times New Roman" w:cs="Times New Roman"/>
                <w:b/>
                <w:bCs/>
                <w:sz w:val="24"/>
                <w:szCs w:val="24"/>
                <w:vertAlign w:val="subscript"/>
                <w:lang w:val="ru-RU" w:eastAsia="uk-UA"/>
              </w:rPr>
              <w:t>4</w:t>
            </w:r>
          </w:p>
        </w:tc>
      </w:tr>
      <w:tr w:rsidR="00A01DB6" w:rsidRPr="0055260F" w:rsidTr="00074481">
        <w:trPr>
          <w:trHeight w:val="350"/>
        </w:trPr>
        <w:tc>
          <w:tcPr>
            <w:tcW w:w="3828" w:type="dxa"/>
            <w:vAlign w:val="center"/>
          </w:tcPr>
          <w:p w:rsidR="00A01DB6" w:rsidRPr="0055260F" w:rsidRDefault="00A01DB6" w:rsidP="00074481">
            <w:pPr>
              <w:widowControl w:val="0"/>
              <w:autoSpaceDE w:val="0"/>
              <w:autoSpaceDN w:val="0"/>
              <w:adjustRightInd w:val="0"/>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sz w:val="24"/>
                <w:szCs w:val="24"/>
                <w:lang w:val="en-US" w:eastAsia="uk-UA"/>
              </w:rPr>
              <w:t xml:space="preserve">Max </w:t>
            </w:r>
            <w:r w:rsidRPr="0055260F">
              <w:rPr>
                <w:rFonts w:ascii="Times New Roman" w:eastAsia="Times New Roman" w:hAnsi="Times New Roman" w:cs="Times New Roman"/>
                <w:b/>
                <w:sz w:val="24"/>
                <w:szCs w:val="24"/>
                <w:lang w:eastAsia="uk-UA"/>
              </w:rPr>
              <w:t xml:space="preserve">value </w:t>
            </w:r>
            <w:proofErr w:type="spellStart"/>
            <w:r w:rsidRPr="0055260F">
              <w:rPr>
                <w:rFonts w:ascii="Times New Roman" w:eastAsia="Times New Roman" w:hAnsi="Times New Roman" w:cs="Times New Roman"/>
                <w:b/>
                <w:sz w:val="24"/>
                <w:szCs w:val="24"/>
                <w:lang w:eastAsia="uk-UA"/>
              </w:rPr>
              <w:t>of</w:t>
            </w:r>
            <w:proofErr w:type="spellEnd"/>
            <w:r w:rsidRPr="0055260F">
              <w:rPr>
                <w:rFonts w:ascii="Times New Roman" w:eastAsia="Times New Roman" w:hAnsi="Times New Roman" w:cs="Times New Roman"/>
                <w:b/>
                <w:sz w:val="24"/>
                <w:szCs w:val="24"/>
                <w:lang w:eastAsia="uk-UA"/>
              </w:rPr>
              <w:t xml:space="preserve"> </w:t>
            </w:r>
            <w:proofErr w:type="spellStart"/>
            <w:r w:rsidRPr="0055260F">
              <w:rPr>
                <w:rFonts w:ascii="Times New Roman" w:eastAsia="Times New Roman" w:hAnsi="Times New Roman" w:cs="Times New Roman"/>
                <w:b/>
                <w:sz w:val="24"/>
                <w:szCs w:val="24"/>
                <w:lang w:eastAsia="uk-UA"/>
              </w:rPr>
              <w:t>the</w:t>
            </w:r>
            <w:proofErr w:type="spellEnd"/>
            <w:r w:rsidRPr="0055260F">
              <w:rPr>
                <w:rFonts w:ascii="Times New Roman" w:eastAsia="Times New Roman" w:hAnsi="Times New Roman" w:cs="Times New Roman"/>
                <w:b/>
                <w:sz w:val="24"/>
                <w:szCs w:val="24"/>
                <w:lang w:eastAsia="uk-UA"/>
              </w:rPr>
              <w:t xml:space="preserve"> </w:t>
            </w:r>
            <w:proofErr w:type="spellStart"/>
            <w:r w:rsidRPr="0055260F">
              <w:rPr>
                <w:rFonts w:ascii="Times New Roman" w:eastAsia="Times New Roman" w:hAnsi="Times New Roman" w:cs="Times New Roman"/>
                <w:b/>
                <w:sz w:val="24"/>
                <w:szCs w:val="24"/>
                <w:lang w:eastAsia="uk-UA"/>
              </w:rPr>
              <w:t>phase</w:t>
            </w:r>
            <w:proofErr w:type="spellEnd"/>
            <w:r w:rsidRPr="0055260F">
              <w:rPr>
                <w:rFonts w:ascii="Times New Roman" w:eastAsia="Times New Roman" w:hAnsi="Times New Roman" w:cs="Times New Roman"/>
                <w:b/>
                <w:sz w:val="24"/>
                <w:szCs w:val="24"/>
                <w:lang w:eastAsia="uk-UA"/>
              </w:rPr>
              <w:t xml:space="preserve"> </w:t>
            </w:r>
            <w:proofErr w:type="spellStart"/>
            <w:r w:rsidRPr="0055260F">
              <w:rPr>
                <w:rFonts w:ascii="Times New Roman" w:eastAsia="Times New Roman" w:hAnsi="Times New Roman" w:cs="Times New Roman"/>
                <w:b/>
                <w:sz w:val="24"/>
                <w:szCs w:val="24"/>
                <w:lang w:eastAsia="uk-UA"/>
              </w:rPr>
              <w:t>content</w:t>
            </w:r>
            <w:proofErr w:type="spellEnd"/>
            <w:r w:rsidRPr="0055260F">
              <w:rPr>
                <w:rFonts w:ascii="Times New Roman" w:eastAsia="Times New Roman" w:hAnsi="Times New Roman" w:cs="Times New Roman"/>
                <w:b/>
                <w:sz w:val="24"/>
                <w:szCs w:val="24"/>
                <w:lang w:eastAsia="uk-UA"/>
              </w:rPr>
              <w:t>,</w:t>
            </w:r>
            <w:r w:rsidRPr="0055260F">
              <w:rPr>
                <w:rFonts w:ascii="Times New Roman" w:eastAsia="Times New Roman" w:hAnsi="Times New Roman" w:cs="Times New Roman"/>
                <w:b/>
                <w:sz w:val="24"/>
                <w:szCs w:val="24"/>
                <w:lang w:val="ru-RU" w:eastAsia="uk-UA"/>
              </w:rPr>
              <w:t xml:space="preserve"> %</w:t>
            </w:r>
          </w:p>
        </w:tc>
        <w:tc>
          <w:tcPr>
            <w:tcW w:w="1275"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15,4</w:t>
            </w:r>
          </w:p>
        </w:tc>
        <w:tc>
          <w:tcPr>
            <w:tcW w:w="1418" w:type="dxa"/>
            <w:vAlign w:val="center"/>
          </w:tcPr>
          <w:p w:rsidR="00A01DB6" w:rsidRPr="0055260F" w:rsidRDefault="00A01DB6" w:rsidP="00074481">
            <w:pPr>
              <w:widowControl w:val="0"/>
              <w:tabs>
                <w:tab w:val="left" w:pos="0"/>
              </w:tabs>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54,5</w:t>
            </w:r>
          </w:p>
        </w:tc>
        <w:tc>
          <w:tcPr>
            <w:tcW w:w="1276"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7,2</w:t>
            </w:r>
          </w:p>
        </w:tc>
        <w:tc>
          <w:tcPr>
            <w:tcW w:w="1269"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77,4</w:t>
            </w:r>
          </w:p>
        </w:tc>
      </w:tr>
      <w:tr w:rsidR="00A01DB6" w:rsidRPr="0055260F" w:rsidTr="00074481">
        <w:trPr>
          <w:trHeight w:val="376"/>
        </w:trPr>
        <w:tc>
          <w:tcPr>
            <w:tcW w:w="3828" w:type="dxa"/>
            <w:vAlign w:val="center"/>
          </w:tcPr>
          <w:p w:rsidR="00A01DB6" w:rsidRPr="0055260F" w:rsidRDefault="00A01DB6" w:rsidP="00074481">
            <w:pPr>
              <w:widowControl w:val="0"/>
              <w:autoSpaceDE w:val="0"/>
              <w:autoSpaceDN w:val="0"/>
              <w:adjustRightInd w:val="0"/>
              <w:rPr>
                <w:rFonts w:ascii="Times New Roman" w:eastAsia="Times New Roman" w:hAnsi="Times New Roman" w:cs="Times New Roman"/>
                <w:b/>
                <w:bCs/>
                <w:sz w:val="24"/>
                <w:szCs w:val="24"/>
                <w:lang w:val="ru-RU" w:eastAsia="uk-UA"/>
              </w:rPr>
            </w:pPr>
            <w:r w:rsidRPr="0055260F">
              <w:rPr>
                <w:rFonts w:ascii="Times New Roman" w:eastAsia="Times New Roman" w:hAnsi="Times New Roman" w:cs="Times New Roman"/>
                <w:b/>
                <w:bCs/>
                <w:sz w:val="24"/>
                <w:szCs w:val="24"/>
                <w:lang w:val="ru-RU" w:eastAsia="uk-UA"/>
              </w:rPr>
              <w:t xml:space="preserve">а, </w:t>
            </w:r>
            <w:r>
              <w:rPr>
                <w:rFonts w:ascii="Times New Roman" w:eastAsia="Times New Roman" w:hAnsi="Times New Roman" w:cs="Times New Roman"/>
                <w:b/>
                <w:bCs/>
                <w:sz w:val="24"/>
                <w:szCs w:val="24"/>
                <w:lang w:val="en-US" w:eastAsia="uk-UA"/>
              </w:rPr>
              <w:t>n</w:t>
            </w:r>
            <w:r w:rsidRPr="0055260F">
              <w:rPr>
                <w:rFonts w:ascii="Times New Roman" w:eastAsia="Times New Roman" w:hAnsi="Times New Roman" w:cs="Times New Roman"/>
                <w:b/>
                <w:bCs/>
                <w:sz w:val="24"/>
                <w:szCs w:val="24"/>
                <w:lang w:val="ru-RU" w:eastAsia="uk-UA"/>
              </w:rPr>
              <w:t>м</w:t>
            </w:r>
          </w:p>
        </w:tc>
        <w:tc>
          <w:tcPr>
            <w:tcW w:w="1275"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val="ru-RU" w:eastAsia="uk-UA"/>
              </w:rPr>
              <w:t>0,2864</w:t>
            </w:r>
          </w:p>
        </w:tc>
        <w:tc>
          <w:tcPr>
            <w:tcW w:w="1418"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0,3624</w:t>
            </w:r>
          </w:p>
        </w:tc>
        <w:tc>
          <w:tcPr>
            <w:tcW w:w="1276"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0,4301</w:t>
            </w:r>
          </w:p>
        </w:tc>
        <w:tc>
          <w:tcPr>
            <w:tcW w:w="1269"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0,8372</w:t>
            </w:r>
          </w:p>
        </w:tc>
      </w:tr>
      <w:tr w:rsidR="00A01DB6" w:rsidRPr="0055260F" w:rsidTr="00074481">
        <w:trPr>
          <w:trHeight w:val="350"/>
        </w:trPr>
        <w:tc>
          <w:tcPr>
            <w:tcW w:w="3828" w:type="dxa"/>
            <w:vAlign w:val="center"/>
          </w:tcPr>
          <w:p w:rsidR="00A01DB6" w:rsidRPr="0055260F" w:rsidRDefault="00A01DB6" w:rsidP="00074481">
            <w:pPr>
              <w:widowControl w:val="0"/>
              <w:autoSpaceDE w:val="0"/>
              <w:autoSpaceDN w:val="0"/>
              <w:adjustRightInd w:val="0"/>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sz w:val="24"/>
                <w:szCs w:val="24"/>
                <w:lang w:val="en-US" w:eastAsia="uk-UA"/>
              </w:rPr>
              <w:t>D</w:t>
            </w:r>
            <w:r w:rsidRPr="0055260F">
              <w:rPr>
                <w:rFonts w:ascii="Times New Roman" w:eastAsia="Times New Roman" w:hAnsi="Times New Roman" w:cs="Times New Roman"/>
                <w:b/>
                <w:sz w:val="24"/>
                <w:szCs w:val="24"/>
                <w:vertAlign w:val="subscript"/>
                <w:lang w:val="en-US" w:eastAsia="uk-UA"/>
              </w:rPr>
              <w:t>CSR</w:t>
            </w:r>
            <w:r w:rsidRPr="0055260F">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en-US" w:eastAsia="uk-UA"/>
              </w:rPr>
              <w:t>n</w:t>
            </w:r>
            <w:r w:rsidRPr="0055260F">
              <w:rPr>
                <w:rFonts w:ascii="Times New Roman" w:eastAsia="Times New Roman" w:hAnsi="Times New Roman" w:cs="Times New Roman"/>
                <w:b/>
                <w:bCs/>
                <w:sz w:val="24"/>
                <w:szCs w:val="24"/>
                <w:lang w:val="ru-RU" w:eastAsia="uk-UA"/>
              </w:rPr>
              <w:t>м</w:t>
            </w:r>
          </w:p>
        </w:tc>
        <w:tc>
          <w:tcPr>
            <w:tcW w:w="1275"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53</w:t>
            </w:r>
          </w:p>
        </w:tc>
        <w:tc>
          <w:tcPr>
            <w:tcW w:w="1418"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24</w:t>
            </w:r>
          </w:p>
        </w:tc>
        <w:tc>
          <w:tcPr>
            <w:tcW w:w="1276"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eastAsia="uk-UA"/>
              </w:rPr>
              <w:t>3,2</w:t>
            </w:r>
          </w:p>
        </w:tc>
        <w:tc>
          <w:tcPr>
            <w:tcW w:w="1269" w:type="dxa"/>
            <w:vAlign w:val="center"/>
          </w:tcPr>
          <w:p w:rsidR="00A01DB6" w:rsidRPr="0055260F" w:rsidRDefault="00A01DB6" w:rsidP="00074481">
            <w:pPr>
              <w:widowControl w:val="0"/>
              <w:autoSpaceDE w:val="0"/>
              <w:autoSpaceDN w:val="0"/>
              <w:adjustRightInd w:val="0"/>
              <w:jc w:val="center"/>
              <w:rPr>
                <w:rFonts w:ascii="Times New Roman" w:eastAsia="Times New Roman" w:hAnsi="Times New Roman" w:cs="Times New Roman"/>
                <w:b/>
                <w:bCs/>
                <w:sz w:val="24"/>
                <w:szCs w:val="24"/>
                <w:lang w:val="en-US" w:eastAsia="uk-UA"/>
              </w:rPr>
            </w:pPr>
            <w:r w:rsidRPr="0055260F">
              <w:rPr>
                <w:rFonts w:ascii="Times New Roman" w:eastAsia="Times New Roman" w:hAnsi="Times New Roman" w:cs="Times New Roman"/>
                <w:b/>
                <w:bCs/>
                <w:sz w:val="24"/>
                <w:szCs w:val="24"/>
                <w:lang w:val="ru-RU" w:eastAsia="uk-UA"/>
              </w:rPr>
              <w:t>1</w:t>
            </w:r>
          </w:p>
        </w:tc>
      </w:tr>
    </w:tbl>
    <w:p w:rsidR="008E0B7D" w:rsidRDefault="008E0B7D">
      <w:bookmarkStart w:id="0" w:name="_GoBack"/>
      <w:bookmarkEnd w:id="0"/>
    </w:p>
    <w:sectPr w:rsidR="008E0B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B6"/>
    <w:rsid w:val="008E0B7D"/>
    <w:rsid w:val="00A01D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7426-4392-463E-B816-8005218F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1158</Words>
  <Characters>661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2022-05-23T11:17:00Z</dcterms:created>
  <dcterms:modified xsi:type="dcterms:W3CDTF">2022-05-23T11:18:00Z</dcterms:modified>
</cp:coreProperties>
</file>