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lang w:val="en-US"/>
        </w:rPr>
      </w:pPr>
      <w:r>
        <w:rPr>
          <w:rFonts w:eastAsia="Times New Roman"/>
          <w:b/>
          <w:color w:val="000000"/>
          <w:kern w:val="2"/>
          <w:sz w:val="24"/>
          <w:lang w:val="en-US" w:eastAsia="ar-SA"/>
        </w:rPr>
        <w:t>Nanocomposites and nanomaterials</w:t>
      </w:r>
    </w:p>
    <w:p>
      <w:pPr>
        <w:pStyle w:val="Normal"/>
        <w:spacing w:before="0" w:after="240"/>
        <w:ind w:left="0" w:right="0" w:hanging="0"/>
        <w:jc w:val="center"/>
        <w:rPr>
          <w:rFonts w:ascii="Times New Roman" w:hAnsi="Times New Roman" w:eastAsia="Times New Roman"/>
          <w:b/>
          <w:b/>
          <w:color w:val="000000"/>
          <w:kern w:val="2"/>
          <w:sz w:val="24"/>
          <w:lang w:val="en-US" w:eastAsia="ar-SA"/>
        </w:rPr>
      </w:pPr>
      <w:r>
        <w:rPr>
          <w:rFonts w:eastAsia="Times New Roman"/>
          <w:b/>
          <w:color w:val="000000"/>
          <w:kern w:val="2"/>
          <w:sz w:val="24"/>
          <w:lang w:val="en-US" w:eastAsia="ar-SA"/>
        </w:rPr>
      </w:r>
    </w:p>
    <w:p>
      <w:pPr>
        <w:pStyle w:val="Normal"/>
        <w:spacing w:before="0" w:after="240"/>
        <w:ind w:left="0" w:right="0" w:hanging="0"/>
        <w:jc w:val="center"/>
        <w:rPr/>
      </w:pPr>
      <w:r>
        <w:rPr>
          <w:rFonts w:eastAsia="Times New Roman"/>
          <w:b/>
          <w:color w:val="000000"/>
          <w:kern w:val="2"/>
          <w:sz w:val="24"/>
          <w:lang w:val="en-US" w:eastAsia="ar-SA"/>
        </w:rPr>
        <w:t xml:space="preserve">Phase diagram of quasi-2D </w:t>
      </w:r>
      <w:r>
        <w:rPr>
          <w:rFonts w:eastAsia="Times New Roman" w:cs="Liberation Serif"/>
          <w:b/>
          <w:bCs/>
          <w:color w:val="000000"/>
          <w:kern w:val="2"/>
          <w:sz w:val="24"/>
          <w:szCs w:val="24"/>
          <w:lang w:val="en-US" w:eastAsia="ar-SA"/>
        </w:rPr>
        <w:t xml:space="preserve">BEDT-TTF </w:t>
      </w:r>
      <w:r>
        <w:rPr>
          <w:rFonts w:eastAsia="Times New Roman"/>
          <w:b/>
          <w:color w:val="000000"/>
          <w:kern w:val="2"/>
          <w:sz w:val="24"/>
          <w:lang w:val="en-US" w:eastAsia="ar-SA"/>
        </w:rPr>
        <w:t>conductors: effect of lattice type on magnetic properties</w:t>
      </w:r>
    </w:p>
    <w:p>
      <w:pPr>
        <w:pStyle w:val="Normal"/>
        <w:spacing w:before="0" w:after="240"/>
        <w:ind w:left="0" w:right="0" w:hanging="0"/>
        <w:jc w:val="center"/>
        <w:rPr/>
      </w:pPr>
      <w:r>
        <w:rPr>
          <w:rFonts w:eastAsia="Times New Roman"/>
          <w:b/>
          <w:color w:val="000000"/>
          <w:kern w:val="2"/>
          <w:sz w:val="20"/>
          <w:u w:val="none"/>
          <w:lang w:val="en-US" w:eastAsia="ar-SA"/>
        </w:rPr>
        <w:t>Skorenkyy Yu</w:t>
      </w:r>
      <w:r>
        <w:rPr>
          <w:rFonts w:eastAsia="Times New Roman"/>
          <w:b/>
          <w:color w:val="000000"/>
          <w:kern w:val="2"/>
          <w:sz w:val="20"/>
          <w:u w:val="none"/>
          <w:lang w:val="uk-UA" w:eastAsia="ar-SA"/>
        </w:rPr>
        <w:t>.</w:t>
      </w:r>
      <w:r>
        <w:rPr>
          <w:rFonts w:eastAsia="Times New Roman"/>
          <w:b/>
          <w:color w:val="000000"/>
          <w:kern w:val="2"/>
          <w:sz w:val="20"/>
          <w:u w:val="none"/>
          <w:lang w:val="en-US" w:eastAsia="ar-SA"/>
        </w:rPr>
        <w:t>, Kramar O.</w:t>
      </w:r>
      <w:r>
        <w:rPr>
          <w:rFonts w:eastAsia="Times New Roman"/>
          <w:b/>
          <w:color w:val="000000"/>
          <w:kern w:val="2"/>
          <w:sz w:val="20"/>
          <w:u w:val="none"/>
          <w:lang w:val="uk-UA" w:eastAsia="ar-SA"/>
        </w:rPr>
        <w:t>, Dovhopyaty Yu.</w:t>
      </w:r>
    </w:p>
    <w:p>
      <w:pPr>
        <w:pStyle w:val="Normal"/>
        <w:ind w:left="0" w:right="0" w:hanging="0"/>
        <w:rPr>
          <w:lang w:val="en-US"/>
        </w:rPr>
      </w:pPr>
      <w:r>
        <w:rPr>
          <w:rFonts w:eastAsia="Times New Roman"/>
          <w:b/>
          <w:i/>
          <w:color w:val="000000"/>
          <w:kern w:val="2"/>
          <w:sz w:val="20"/>
          <w:lang w:val="en-US" w:eastAsia="ar-SA"/>
        </w:rPr>
        <w:t>Ternopil Ivan Puluj National Technical University</w:t>
      </w:r>
      <w:r>
        <w:rPr>
          <w:rFonts w:eastAsia="Times New Roman"/>
          <w:i/>
          <w:color w:val="000000"/>
          <w:kern w:val="2"/>
          <w:sz w:val="20"/>
          <w:lang w:val="en-US" w:eastAsia="ar-SA"/>
        </w:rPr>
        <w:t xml:space="preserve">, </w:t>
      </w:r>
      <w:r>
        <w:rPr>
          <w:rFonts w:eastAsia="Times New Roman"/>
          <w:b/>
          <w:i/>
          <w:color w:val="000000"/>
          <w:kern w:val="2"/>
          <w:sz w:val="20"/>
          <w:lang w:val="en-US" w:eastAsia="ar-SA"/>
        </w:rPr>
        <w:t>56 Ruska St, Ternopil, Ukraine</w:t>
      </w:r>
      <w:r>
        <w:rPr>
          <w:rFonts w:eastAsia="Times New Roman"/>
          <w:i/>
          <w:color w:val="000000"/>
          <w:kern w:val="2"/>
          <w:sz w:val="20"/>
          <w:lang w:val="en-US" w:eastAsia="ar-SA"/>
        </w:rPr>
        <w:t xml:space="preserve">. </w:t>
      </w:r>
    </w:p>
    <w:p>
      <w:pPr>
        <w:pStyle w:val="Normal"/>
        <w:spacing w:before="0" w:after="120"/>
        <w:ind w:left="0" w:right="0" w:hanging="0"/>
        <w:rPr>
          <w:lang w:val="en-US"/>
        </w:rPr>
      </w:pPr>
      <w:r>
        <w:rPr>
          <w:rFonts w:eastAsia="Times New Roman"/>
          <w:i/>
          <w:color w:val="000000"/>
          <w:kern w:val="2"/>
          <w:sz w:val="20"/>
          <w:lang w:val="en-US" w:eastAsia="ar-SA"/>
        </w:rPr>
        <w:t xml:space="preserve">E-mail: </w:t>
      </w:r>
      <w:r>
        <w:rPr>
          <w:rFonts w:eastAsia="Times New Roman"/>
          <w:b/>
          <w:i/>
          <w:color w:val="000000"/>
          <w:kern w:val="2"/>
          <w:sz w:val="20"/>
          <w:lang w:val="en-US" w:eastAsia="ar-SA"/>
        </w:rPr>
        <w:t>skorenkyy@tntu.edu.ua</w:t>
      </w:r>
    </w:p>
    <w:p>
      <w:pPr>
        <w:pStyle w:val="Normal"/>
        <w:ind w:left="0" w:right="0" w:hanging="0"/>
        <w:rPr>
          <w:rFonts w:ascii="Times New Roman" w:hAnsi="Times New Roman" w:eastAsia="Times New Roman"/>
          <w:color w:val="000000"/>
          <w:kern w:val="2"/>
          <w:sz w:val="20"/>
          <w:lang w:val="en-US" w:eastAsia="ar-SA"/>
        </w:rPr>
      </w:pPr>
      <w:r>
        <w:rPr>
          <w:rFonts w:eastAsia="Times New Roman"/>
          <w:color w:val="000000"/>
          <w:kern w:val="2"/>
          <w:sz w:val="20"/>
          <w:lang w:val="en-US" w:eastAsia="ar-SA"/>
        </w:rPr>
      </w:r>
    </w:p>
    <w:p>
      <w:pPr>
        <w:pStyle w:val="Normal"/>
        <w:ind w:left="0" w:right="0" w:firstLine="360"/>
        <w:jc w:val="both"/>
        <w:rPr/>
      </w:pPr>
      <w:r>
        <w:rPr>
          <w:rFonts w:eastAsia="Times New Roman" w:cs="Liberation Serif"/>
          <w:color w:val="000000"/>
          <w:kern w:val="2"/>
          <w:sz w:val="20"/>
          <w:szCs w:val="24"/>
          <w:lang w:val="en-US" w:eastAsia="ar-SA"/>
        </w:rPr>
        <w:t>BEDT-TTF family of quasi-two-dimensional organic conductors exhibits large variety of ordered phases [1]. We use the model of electronic subsystem [2] to describe both the stability of magnetically ordered phase</w:t>
      </w:r>
      <w:r>
        <w:rPr>
          <w:rFonts w:eastAsia="Times New Roman" w:cs="Liberation Serif"/>
          <w:color w:val="000000"/>
          <w:kern w:val="2"/>
          <w:sz w:val="20"/>
          <w:szCs w:val="24"/>
          <w:lang w:val="en-US" w:eastAsia="ar-SA"/>
        </w:rPr>
        <w:t>s</w:t>
      </w:r>
      <w:r>
        <w:rPr>
          <w:rFonts w:eastAsia="Times New Roman" w:cs="Liberation Serif"/>
          <w:color w:val="000000"/>
          <w:kern w:val="2"/>
          <w:sz w:val="20"/>
          <w:szCs w:val="24"/>
          <w:lang w:val="en-US" w:eastAsia="ar-SA"/>
        </w:rPr>
        <w:t xml:space="preserve"> in a number of </w:t>
      </w:r>
      <w:r>
        <w:rPr>
          <w:rFonts w:eastAsia="Times New Roman"/>
          <w:color w:val="000000"/>
          <w:kern w:val="2"/>
          <w:sz w:val="20"/>
          <w:lang w:val="en-US" w:eastAsia="ar-SA"/>
        </w:rPr>
        <w:t>(</w:t>
      </w:r>
      <w:bookmarkStart w:id="0" w:name="__DdeLink__833_4152313714"/>
      <w:r>
        <w:rPr>
          <w:rFonts w:eastAsia="Times New Roman"/>
          <w:color w:val="000000"/>
          <w:kern w:val="2"/>
          <w:sz w:val="20"/>
          <w:lang w:val="en-US" w:eastAsia="ar-SA"/>
        </w:rPr>
        <w:t>BEDT-TTF)</w:t>
      </w:r>
      <w:r>
        <w:rPr>
          <w:rFonts w:eastAsia="Times New Roman"/>
          <w:color w:val="000000"/>
          <w:kern w:val="2"/>
          <w:sz w:val="20"/>
          <w:vertAlign w:val="subscript"/>
          <w:lang w:val="en-US" w:eastAsia="ar-SA"/>
        </w:rPr>
        <w:t>2</w:t>
      </w:r>
      <w:r>
        <w:rPr>
          <w:rFonts w:eastAsia="Times New Roman"/>
          <w:color w:val="000000"/>
          <w:kern w:val="2"/>
          <w:sz w:val="20"/>
          <w:lang w:val="en-US" w:eastAsia="ar-SA"/>
        </w:rPr>
        <w:t>X compounds</w:t>
      </w:r>
      <w:bookmarkEnd w:id="0"/>
      <w:r>
        <w:rPr>
          <w:rFonts w:eastAsia="Times New Roman"/>
          <w:color w:val="000000"/>
          <w:kern w:val="2"/>
          <w:sz w:val="20"/>
          <w:lang w:val="en-US" w:eastAsia="ar-SA"/>
        </w:rPr>
        <w:t xml:space="preserve"> BEDT-TTF is bis(ethylenedithio)tetrathiafulvalene molecule, X denotes monovalent anion (X = Cu[N(CN)</w:t>
      </w:r>
      <w:r>
        <w:rPr>
          <w:rFonts w:eastAsia="Times New Roman"/>
          <w:color w:val="000000"/>
          <w:kern w:val="2"/>
          <w:sz w:val="20"/>
          <w:vertAlign w:val="subscript"/>
          <w:lang w:val="en-US" w:eastAsia="ar-SA"/>
        </w:rPr>
        <w:t>2</w:t>
      </w:r>
      <w:r>
        <w:rPr>
          <w:rFonts w:eastAsia="Times New Roman"/>
          <w:color w:val="000000"/>
          <w:kern w:val="2"/>
          <w:sz w:val="20"/>
          <w:lang w:val="en-US" w:eastAsia="ar-SA"/>
        </w:rPr>
        <w:t>]Cl, Cu[N(CN)</w:t>
      </w:r>
      <w:r>
        <w:rPr>
          <w:rFonts w:eastAsia="Times New Roman"/>
          <w:color w:val="000000"/>
          <w:kern w:val="2"/>
          <w:sz w:val="20"/>
          <w:vertAlign w:val="subscript"/>
          <w:lang w:val="en-US" w:eastAsia="ar-SA"/>
        </w:rPr>
        <w:t>2</w:t>
      </w:r>
      <w:r>
        <w:rPr>
          <w:rFonts w:eastAsia="Times New Roman"/>
          <w:color w:val="000000"/>
          <w:kern w:val="2"/>
          <w:sz w:val="20"/>
          <w:lang w:val="en-US" w:eastAsia="ar-SA"/>
        </w:rPr>
        <w:t>]Br, Cu[N(CN)</w:t>
      </w:r>
      <w:r>
        <w:rPr>
          <w:rFonts w:eastAsia="Times New Roman"/>
          <w:color w:val="000000"/>
          <w:kern w:val="2"/>
          <w:sz w:val="20"/>
          <w:vertAlign w:val="subscript"/>
          <w:lang w:val="en-US" w:eastAsia="ar-SA"/>
        </w:rPr>
        <w:t>2</w:t>
      </w:r>
      <w:r>
        <w:rPr>
          <w:rFonts w:eastAsia="Times New Roman"/>
          <w:color w:val="000000"/>
          <w:kern w:val="2"/>
          <w:sz w:val="20"/>
          <w:lang w:val="en-US" w:eastAsia="ar-SA"/>
        </w:rPr>
        <w:t>]I, Cu(SCN)</w:t>
      </w:r>
      <w:r>
        <w:rPr>
          <w:rFonts w:eastAsia="Times New Roman"/>
          <w:color w:val="000000"/>
          <w:kern w:val="2"/>
          <w:sz w:val="20"/>
          <w:vertAlign w:val="subscript"/>
          <w:lang w:val="en-US" w:eastAsia="ar-SA"/>
        </w:rPr>
        <w:t>2</w:t>
      </w:r>
      <w:r>
        <w:rPr>
          <w:rFonts w:eastAsia="Times New Roman"/>
          <w:color w:val="000000"/>
          <w:kern w:val="2"/>
          <w:sz w:val="20"/>
          <w:lang w:val="en-US" w:eastAsia="ar-SA"/>
        </w:rPr>
        <w:t>, ICl</w:t>
      </w:r>
      <w:r>
        <w:rPr>
          <w:rFonts w:eastAsia="Times New Roman"/>
          <w:color w:val="000000"/>
          <w:kern w:val="2"/>
          <w:sz w:val="20"/>
          <w:vertAlign w:val="subscript"/>
          <w:lang w:val="en-US" w:eastAsia="ar-SA"/>
        </w:rPr>
        <w:t>2</w:t>
      </w:r>
      <w:r>
        <w:rPr>
          <w:rFonts w:eastAsia="Times New Roman"/>
          <w:color w:val="000000"/>
          <w:kern w:val="2"/>
          <w:sz w:val="20"/>
          <w:lang w:val="en-US" w:eastAsia="ar-SA"/>
        </w:rPr>
        <w:t>, AuBr</w:t>
      </w:r>
      <w:r>
        <w:rPr>
          <w:rFonts w:eastAsia="Times New Roman"/>
          <w:color w:val="000000"/>
          <w:kern w:val="2"/>
          <w:sz w:val="20"/>
          <w:vertAlign w:val="subscript"/>
          <w:lang w:val="en-US" w:eastAsia="ar-SA"/>
        </w:rPr>
        <w:t>2</w:t>
      </w:r>
      <w:r>
        <w:rPr>
          <w:rFonts w:eastAsia="Times New Roman"/>
          <w:color w:val="000000"/>
          <w:kern w:val="2"/>
          <w:sz w:val="20"/>
          <w:lang w:val="en-US" w:eastAsia="ar-SA"/>
        </w:rPr>
        <w:t>, AuI</w:t>
      </w:r>
      <w:r>
        <w:rPr>
          <w:rFonts w:eastAsia="Times New Roman"/>
          <w:color w:val="000000"/>
          <w:kern w:val="2"/>
          <w:sz w:val="20"/>
          <w:vertAlign w:val="subscript"/>
          <w:lang w:val="en-US" w:eastAsia="ar-SA"/>
        </w:rPr>
        <w:t>2</w:t>
      </w:r>
      <w:r>
        <w:rPr>
          <w:rFonts w:eastAsia="Times New Roman"/>
          <w:color w:val="000000"/>
          <w:kern w:val="2"/>
          <w:sz w:val="20"/>
          <w:lang w:val="en-US" w:eastAsia="ar-SA"/>
        </w:rPr>
        <w:t>, Ibr</w:t>
      </w:r>
      <w:r>
        <w:rPr>
          <w:rFonts w:eastAsia="Times New Roman"/>
          <w:color w:val="000000"/>
          <w:kern w:val="2"/>
          <w:sz w:val="20"/>
          <w:vertAlign w:val="subscript"/>
          <w:lang w:val="en-US" w:eastAsia="ar-SA"/>
        </w:rPr>
        <w:t>2</w:t>
      </w:r>
      <w:r>
        <w:rPr>
          <w:rFonts w:eastAsia="Times New Roman"/>
          <w:color w:val="000000"/>
          <w:kern w:val="2"/>
          <w:sz w:val="20"/>
          <w:lang w:val="en-US" w:eastAsia="ar-SA"/>
        </w:rPr>
        <w:t>, I</w:t>
      </w:r>
      <w:r>
        <w:rPr>
          <w:rFonts w:eastAsia="Times New Roman"/>
          <w:color w:val="000000"/>
          <w:kern w:val="2"/>
          <w:sz w:val="20"/>
          <w:vertAlign w:val="subscript"/>
          <w:lang w:val="en-US" w:eastAsia="ar-SA"/>
        </w:rPr>
        <w:t>3</w:t>
      </w:r>
      <w:r>
        <w:rPr>
          <w:rFonts w:eastAsia="Times New Roman"/>
          <w:color w:val="000000"/>
          <w:kern w:val="2"/>
          <w:sz w:val="20"/>
          <w:lang w:val="en-US" w:eastAsia="ar-SA"/>
        </w:rPr>
        <w:t>) and the transition driven by temper</w:t>
      </w:r>
      <w:r>
        <w:rPr>
          <w:rFonts w:eastAsia="Times New Roman"/>
          <w:color w:val="000000"/>
          <w:kern w:val="2"/>
          <w:sz w:val="20"/>
          <w:lang w:val="en-US" w:eastAsia="ar-SA"/>
        </w:rPr>
        <w:t>a</w:t>
      </w:r>
      <w:r>
        <w:rPr>
          <w:rFonts w:eastAsia="Times New Roman"/>
          <w:color w:val="000000"/>
          <w:kern w:val="2"/>
          <w:sz w:val="20"/>
          <w:lang w:val="en-US" w:eastAsia="ar-SA"/>
        </w:rPr>
        <w:t>ture change or the external pressure application as the strong electron correlation effects. Due to the variety of packing types and lattice parameters of the compounds from the studied family, and the abundance of the experimental studies of the phase transitions in (BEDT-TTF)</w:t>
      </w:r>
      <w:r>
        <w:rPr>
          <w:rFonts w:eastAsia="Times New Roman"/>
          <w:color w:val="000000"/>
          <w:kern w:val="2"/>
          <w:sz w:val="20"/>
          <w:vertAlign w:val="subscript"/>
          <w:lang w:val="en-US" w:eastAsia="ar-SA"/>
        </w:rPr>
        <w:t>2</w:t>
      </w:r>
      <w:r>
        <w:rPr>
          <w:rFonts w:eastAsia="Times New Roman"/>
          <w:color w:val="000000"/>
          <w:kern w:val="2"/>
          <w:sz w:val="20"/>
          <w:lang w:val="en-US" w:eastAsia="ar-SA"/>
        </w:rPr>
        <w:t xml:space="preserve">X we are able to explain qualitative differences of behaviour for </w:t>
      </w:r>
      <w:r>
        <w:rPr>
          <w:rFonts w:eastAsia="Times New Roman"/>
          <w:color w:val="000000"/>
          <w:kern w:val="2"/>
          <w:sz w:val="20"/>
          <w:lang w:val="en-GB" w:eastAsia="ar-SA"/>
        </w:rPr>
        <w:t>α- and κ- configurations</w:t>
      </w:r>
      <w:r>
        <w:rPr>
          <w:rFonts w:eastAsia="Times New Roman"/>
          <w:color w:val="000000"/>
          <w:kern w:val="2"/>
          <w:sz w:val="20"/>
          <w:lang w:val="en-US" w:eastAsia="ar-SA"/>
        </w:rPr>
        <w:t xml:space="preserve"> with taking into account the realistic electronic density of states form and the correlated hopping of electrons, which induces the electron-hole asymme</w:t>
      </w:r>
      <w:r>
        <w:rPr>
          <w:rFonts w:eastAsia="Times New Roman" w:cs="Liberation Serif"/>
          <w:color w:val="000000"/>
          <w:kern w:val="2"/>
          <w:sz w:val="20"/>
          <w:szCs w:val="24"/>
          <w:lang w:val="en-US" w:eastAsia="ar-SA"/>
        </w:rPr>
        <w:t xml:space="preserve">try </w:t>
      </w:r>
      <w:r>
        <w:rPr>
          <w:rFonts w:eastAsia="Times New Roman" w:cs="Liberation Serif"/>
          <w:color w:val="000000"/>
          <w:kern w:val="2"/>
          <w:sz w:val="20"/>
          <w:szCs w:val="24"/>
          <w:lang w:val="en-US" w:eastAsia="ar-SA"/>
        </w:rPr>
        <w:t>[3, 4]</w:t>
      </w:r>
      <w:r>
        <w:rPr>
          <w:rFonts w:eastAsia="Times New Roman" w:cs="Liberation Serif"/>
          <w:color w:val="000000"/>
          <w:kern w:val="2"/>
          <w:sz w:val="20"/>
          <w:szCs w:val="24"/>
          <w:lang w:val="en-US" w:eastAsia="ar-SA"/>
        </w:rPr>
        <w:t xml:space="preserve">. By applying a variant of the projection method in the Green function equation of motion approach we calculated the single-particle energy spectrum, sublattice magnetization in spin- and charge-ordered phases and the transition temperatures. </w:t>
      </w:r>
      <w:r>
        <w:rPr>
          <w:rFonts w:eastAsia="Times New Roman" w:cs="Liberation Serif"/>
          <w:color w:val="000000"/>
          <w:kern w:val="2"/>
          <w:sz w:val="20"/>
          <w:szCs w:val="24"/>
          <w:lang w:val="en-US" w:eastAsia="ar-SA"/>
        </w:rPr>
        <w:t>These results allow us to interpret available experimental data and suggest new mechanisms for the magnetic ordering stabilization in (BEDT-TTF)</w:t>
      </w:r>
      <w:r>
        <w:rPr>
          <w:rFonts w:eastAsia="Times New Roman" w:cs="Liberation Serif"/>
          <w:color w:val="000000"/>
          <w:kern w:val="2"/>
          <w:sz w:val="20"/>
          <w:szCs w:val="24"/>
          <w:vertAlign w:val="subscript"/>
          <w:lang w:val="en-US" w:eastAsia="ar-SA"/>
        </w:rPr>
        <w:t>2</w:t>
      </w:r>
      <w:r>
        <w:rPr>
          <w:rFonts w:eastAsia="Times New Roman" w:cs="Liberation Serif"/>
          <w:color w:val="000000"/>
          <w:kern w:val="2"/>
          <w:sz w:val="20"/>
          <w:szCs w:val="24"/>
          <w:lang w:val="en-US" w:eastAsia="ar-SA"/>
        </w:rPr>
        <w:t>X compounds</w:t>
      </w:r>
      <w:r>
        <w:rPr>
          <w:rFonts w:eastAsia="Times New Roman" w:cs="Liberation Serif"/>
          <w:color w:val="000000"/>
          <w:kern w:val="2"/>
          <w:sz w:val="20"/>
          <w:szCs w:val="24"/>
          <w:lang w:val="en-US" w:eastAsia="ar-SA"/>
        </w:rPr>
        <w:t xml:space="preserve">. </w:t>
      </w:r>
    </w:p>
    <w:p>
      <w:pPr>
        <w:pStyle w:val="Normal"/>
        <w:ind w:left="720" w:right="0" w:hanging="720"/>
        <w:jc w:val="both"/>
        <w:rPr>
          <w:rFonts w:ascii="Times New Roman" w:hAnsi="Times New Roman" w:eastAsia="Times New Roman"/>
          <w:color w:val="000000"/>
          <w:kern w:val="2"/>
          <w:sz w:val="20"/>
          <w:lang w:val="en-US" w:eastAsia="ar-SA"/>
        </w:rPr>
      </w:pPr>
      <w:r>
        <w:rPr>
          <w:rFonts w:eastAsia="Times New Roman"/>
          <w:color w:val="000000"/>
          <w:kern w:val="2"/>
          <w:sz w:val="20"/>
          <w:lang w:val="en-US" w:eastAsia="ar-SA"/>
        </w:rPr>
      </w:r>
    </w:p>
    <w:p>
      <w:pPr>
        <w:pStyle w:val="Normal"/>
        <w:numPr>
          <w:ilvl w:val="0"/>
          <w:numId w:val="1"/>
        </w:numPr>
        <w:tabs>
          <w:tab w:val="left" w:pos="360" w:leader="none"/>
          <w:tab w:val="left" w:pos="720" w:leader="none"/>
        </w:tabs>
        <w:jc w:val="both"/>
        <w:rPr/>
      </w:pPr>
      <w:r>
        <w:rPr>
          <w:rFonts w:eastAsia="Times New Roman" w:cs="Liberation Serif"/>
          <w:bCs/>
          <w:i/>
          <w:color w:val="000000"/>
          <w:kern w:val="2"/>
          <w:sz w:val="20"/>
          <w:szCs w:val="24"/>
          <w:lang w:val="en-US" w:eastAsia="ar-SA"/>
        </w:rPr>
        <w:t xml:space="preserve">Lebed A.G. </w:t>
      </w:r>
      <w:r>
        <w:rPr>
          <w:rFonts w:eastAsia="MS Mincho;ＭＳ 明朝" w:cs="Liberation Serif;Times New Roman" w:ascii="Liberation Serif;Times New Roman" w:hAnsi="Liberation Serif;Times New Roman"/>
          <w:bCs/>
          <w:i/>
          <w:color w:val="000000"/>
          <w:kern w:val="2"/>
          <w:sz w:val="20"/>
          <w:lang w:val="en-GB" w:eastAsia="en-US"/>
        </w:rPr>
        <w:t xml:space="preserve"> </w:t>
      </w:r>
      <w:r>
        <w:rPr>
          <w:rFonts w:eastAsia="Times New Roman" w:cs="Liberation Serif"/>
          <w:bCs/>
          <w:i w:val="false"/>
          <w:color w:val="000000"/>
          <w:kern w:val="2"/>
          <w:sz w:val="20"/>
          <w:szCs w:val="24"/>
          <w:lang w:val="en-US" w:eastAsia="ar-SA"/>
        </w:rPr>
        <w:t xml:space="preserve">The Physics of Organic Superconductors and Conductors. Springer Series in Materials Science, vol.110.  </w:t>
      </w:r>
      <w:bookmarkStart w:id="1" w:name="copyright-info"/>
      <w:bookmarkEnd w:id="1"/>
      <w:r>
        <w:rPr>
          <w:rFonts w:eastAsia="Times New Roman" w:cs="Liberation Serif"/>
          <w:bCs/>
          <w:i w:val="false"/>
          <w:color w:val="000000"/>
          <w:kern w:val="2"/>
          <w:sz w:val="20"/>
          <w:szCs w:val="24"/>
          <w:lang w:val="en-US" w:eastAsia="ar-SA"/>
        </w:rPr>
        <w:t>Springer Berlin Heidelberg, 2008.</w:t>
      </w:r>
    </w:p>
    <w:p>
      <w:pPr>
        <w:pStyle w:val="Normal"/>
        <w:numPr>
          <w:ilvl w:val="0"/>
          <w:numId w:val="1"/>
        </w:numPr>
        <w:tabs>
          <w:tab w:val="left" w:pos="360" w:leader="none"/>
          <w:tab w:val="left" w:pos="720" w:leader="none"/>
        </w:tabs>
        <w:rPr/>
      </w:pPr>
      <w:r>
        <w:rPr>
          <w:rFonts w:eastAsia="Times New Roman"/>
          <w:i/>
          <w:color w:val="000000"/>
          <w:kern w:val="2"/>
          <w:sz w:val="20"/>
          <w:lang w:val="en-US" w:eastAsia="ar-SA"/>
        </w:rPr>
        <w:t xml:space="preserve">Skorenkyy Yu. </w:t>
      </w:r>
      <w:r>
        <w:rPr>
          <w:rFonts w:eastAsia="Times New Roman"/>
          <w:i/>
          <w:color w:val="000000"/>
          <w:kern w:val="2"/>
          <w:position w:val="0"/>
          <w:sz w:val="19"/>
          <w:sz w:val="19"/>
          <w:szCs w:val="19"/>
          <w:vertAlign w:val="baseline"/>
          <w:lang w:val="pt-BR" w:eastAsia="ar-SA"/>
        </w:rPr>
        <w:t xml:space="preserve"> </w:t>
      </w:r>
      <w:bookmarkStart w:id="2" w:name="screen-reader-main-title"/>
      <w:bookmarkEnd w:id="2"/>
      <w:r>
        <w:rPr>
          <w:rFonts w:eastAsia="Times New Roman" w:cs="Liberation Serif"/>
          <w:bCs/>
          <w:i w:val="false"/>
          <w:iCs/>
          <w:color w:val="000000"/>
          <w:kern w:val="2"/>
          <w:position w:val="0"/>
          <w:sz w:val="20"/>
          <w:sz w:val="20"/>
          <w:szCs w:val="24"/>
          <w:vertAlign w:val="baseline"/>
          <w:lang w:val="en-US" w:eastAsia="ar-SA"/>
        </w:rPr>
        <w:t>Phase transitions in a model of BEDT-TTF compound electron subsystem // Materials Today: Proceedings</w:t>
      </w:r>
      <w:r>
        <w:rPr>
          <w:rFonts w:eastAsia="Times New Roman" w:cs="Liberation Serif"/>
          <w:bCs/>
          <w:i w:val="false"/>
          <w:color w:val="000000"/>
          <w:kern w:val="2"/>
          <w:position w:val="0"/>
          <w:sz w:val="20"/>
          <w:sz w:val="20"/>
          <w:szCs w:val="24"/>
          <w:vertAlign w:val="baseline"/>
          <w:lang w:val="en-US" w:eastAsia="ar-SA"/>
        </w:rPr>
        <w:t xml:space="preserve">, </w:t>
      </w:r>
      <w:r>
        <w:rPr>
          <w:rStyle w:val="InternetLink1"/>
          <w:rFonts w:eastAsia="Times New Roman" w:cs="Liberation Serif"/>
          <w:b w:val="false"/>
          <w:bCs/>
          <w:i w:val="false"/>
          <w:iCs w:val="false"/>
          <w:color w:val="000000"/>
          <w:kern w:val="2"/>
          <w:position w:val="0"/>
          <w:sz w:val="20"/>
          <w:sz w:val="20"/>
          <w:szCs w:val="24"/>
          <w:u w:val="none"/>
          <w:vertAlign w:val="baseline"/>
          <w:lang w:val="en-US" w:eastAsia="ar-SA"/>
        </w:rPr>
        <w:t>doi.org/10.1016/j.matpr.2019.10.164</w:t>
      </w:r>
      <w:r>
        <w:rPr>
          <w:rFonts w:eastAsia="Times New Roman" w:cs="Liberation Serif"/>
          <w:b w:val="false"/>
          <w:bCs/>
          <w:i w:val="false"/>
          <w:iCs w:val="false"/>
          <w:color w:val="000000"/>
          <w:kern w:val="2"/>
          <w:position w:val="0"/>
          <w:sz w:val="20"/>
          <w:sz w:val="20"/>
          <w:szCs w:val="24"/>
          <w:vertAlign w:val="baseline"/>
          <w:lang w:val="en-US" w:eastAsia="ar-SA"/>
        </w:rPr>
        <w:t>.</w:t>
      </w:r>
    </w:p>
    <w:p>
      <w:pPr>
        <w:pStyle w:val="Normal"/>
        <w:numPr>
          <w:ilvl w:val="0"/>
          <w:numId w:val="1"/>
        </w:numPr>
        <w:tabs>
          <w:tab w:val="left" w:pos="360" w:leader="none"/>
          <w:tab w:val="left" w:pos="720" w:leader="none"/>
        </w:tabs>
        <w:rPr/>
      </w:pPr>
      <w:r>
        <w:rPr>
          <w:rFonts w:eastAsia="Times New Roman" w:cs="Liberation Serif"/>
          <w:b w:val="false"/>
          <w:bCs/>
          <w:i/>
          <w:iCs w:val="false"/>
          <w:color w:val="000000"/>
          <w:kern w:val="2"/>
          <w:position w:val="0"/>
          <w:sz w:val="20"/>
          <w:sz w:val="20"/>
          <w:szCs w:val="24"/>
          <w:vertAlign w:val="baseline"/>
          <w:lang w:val="en-US" w:eastAsia="ar-SA"/>
        </w:rPr>
        <w:t xml:space="preserve">Skorenkyy Yu. et al. </w:t>
      </w:r>
      <w:r>
        <w:rPr>
          <w:rFonts w:eastAsia="Times New Roman" w:cs="Liberation Serif"/>
          <w:b w:val="false"/>
          <w:bCs/>
          <w:i w:val="false"/>
          <w:iCs w:val="false"/>
          <w:color w:val="000000"/>
          <w:kern w:val="2"/>
          <w:position w:val="0"/>
          <w:sz w:val="20"/>
          <w:sz w:val="20"/>
          <w:szCs w:val="24"/>
          <w:vertAlign w:val="baseline"/>
          <w:lang w:val="en-US" w:eastAsia="ar-SA"/>
        </w:rPr>
        <w:t>Mott transition, ferromagnetism and conductivity in the generalized Hubbard model // Acta Physica Polonica A.- 2007.-</w:t>
      </w:r>
      <w:r>
        <w:rPr>
          <w:rFonts w:eastAsia="Times New Roman" w:cs="Liberation Serif"/>
          <w:b/>
          <w:bCs/>
          <w:i w:val="false"/>
          <w:iCs w:val="false"/>
          <w:color w:val="000000"/>
          <w:kern w:val="2"/>
          <w:position w:val="0"/>
          <w:sz w:val="20"/>
          <w:sz w:val="20"/>
          <w:szCs w:val="24"/>
          <w:vertAlign w:val="baseline"/>
          <w:lang w:val="en-US" w:eastAsia="ar-SA"/>
        </w:rPr>
        <w:t>111.-</w:t>
      </w:r>
      <w:r>
        <w:rPr>
          <w:rFonts w:eastAsia="Times New Roman" w:cs="Liberation Serif"/>
          <w:b w:val="false"/>
          <w:bCs/>
          <w:i w:val="false"/>
          <w:iCs w:val="false"/>
          <w:color w:val="000000"/>
          <w:kern w:val="2"/>
          <w:position w:val="0"/>
          <w:sz w:val="20"/>
          <w:sz w:val="20"/>
          <w:szCs w:val="24"/>
          <w:vertAlign w:val="baseline"/>
          <w:lang w:val="en-US" w:eastAsia="ar-SA"/>
        </w:rPr>
        <w:t>P.635-644.</w:t>
      </w:r>
    </w:p>
    <w:p>
      <w:pPr>
        <w:pStyle w:val="Normal"/>
        <w:numPr>
          <w:ilvl w:val="0"/>
          <w:numId w:val="1"/>
        </w:numPr>
        <w:tabs>
          <w:tab w:val="left" w:pos="360" w:leader="none"/>
          <w:tab w:val="left" w:pos="720" w:leader="none"/>
        </w:tabs>
        <w:rPr/>
      </w:pPr>
      <w:r>
        <w:rPr>
          <w:rFonts w:eastAsia="Times New Roman" w:cs="Liberation Serif"/>
          <w:b w:val="false"/>
          <w:bCs/>
          <w:i w:val="false"/>
          <w:iCs w:val="false"/>
          <w:color w:val="000000"/>
          <w:kern w:val="2"/>
          <w:position w:val="0"/>
          <w:sz w:val="20"/>
          <w:sz w:val="20"/>
          <w:szCs w:val="24"/>
          <w:vertAlign w:val="baseline"/>
          <w:lang w:val="en-US" w:eastAsia="ar-SA"/>
        </w:rPr>
        <w:t xml:space="preserve">Dobushovskyi D.A. ,  Shvaika A.M. Thermoelectric properties of Mott insulator with correlated hopping at microdoping // Condensed Matter Physics -  2020. - </w:t>
      </w:r>
      <w:r>
        <w:rPr>
          <w:rFonts w:eastAsia="Times New Roman" w:cs="Liberation Serif"/>
          <w:b/>
          <w:bCs/>
          <w:i w:val="false"/>
          <w:iCs w:val="false"/>
          <w:color w:val="000000"/>
          <w:kern w:val="2"/>
          <w:position w:val="0"/>
          <w:sz w:val="20"/>
          <w:sz w:val="20"/>
          <w:szCs w:val="24"/>
          <w:vertAlign w:val="baseline"/>
          <w:lang w:val="en-US" w:eastAsia="ar-SA"/>
        </w:rPr>
        <w:t>23</w:t>
      </w:r>
      <w:r>
        <w:rPr>
          <w:rFonts w:eastAsia="Times New Roman" w:cs="Liberation Serif"/>
          <w:b w:val="false"/>
          <w:bCs w:val="false"/>
          <w:i w:val="false"/>
          <w:iCs w:val="false"/>
          <w:color w:val="000000"/>
          <w:kern w:val="2"/>
          <w:position w:val="0"/>
          <w:sz w:val="20"/>
          <w:sz w:val="20"/>
          <w:szCs w:val="24"/>
          <w:vertAlign w:val="baseline"/>
          <w:lang w:val="en-US" w:eastAsia="ar-SA"/>
        </w:rPr>
        <w:t>.</w:t>
      </w:r>
      <w:r>
        <w:rPr>
          <w:rFonts w:eastAsia="Times New Roman" w:cs="Liberation Serif"/>
          <w:b/>
          <w:bCs/>
          <w:i w:val="false"/>
          <w:iCs w:val="false"/>
          <w:color w:val="000000"/>
          <w:kern w:val="2"/>
          <w:position w:val="0"/>
          <w:sz w:val="20"/>
          <w:sz w:val="20"/>
          <w:szCs w:val="24"/>
          <w:vertAlign w:val="baseline"/>
          <w:lang w:val="en-US" w:eastAsia="ar-SA"/>
        </w:rPr>
        <w:t xml:space="preserve"> </w:t>
      </w:r>
      <w:r>
        <w:rPr>
          <w:rFonts w:eastAsia="Times New Roman" w:cs="Liberation Serif"/>
          <w:b w:val="false"/>
          <w:bCs w:val="false"/>
          <w:i w:val="false"/>
          <w:iCs w:val="false"/>
          <w:color w:val="000000"/>
          <w:kern w:val="2"/>
          <w:position w:val="0"/>
          <w:sz w:val="20"/>
          <w:sz w:val="20"/>
          <w:szCs w:val="24"/>
          <w:vertAlign w:val="baseline"/>
          <w:lang w:val="en-US" w:eastAsia="ar-SA"/>
        </w:rPr>
        <w:t>-</w:t>
      </w:r>
      <w:r>
        <w:rPr>
          <w:rFonts w:eastAsia="Times New Roman" w:cs="Liberation Serif"/>
          <w:b w:val="false"/>
          <w:bCs/>
          <w:i w:val="false"/>
          <w:iCs w:val="false"/>
          <w:color w:val="000000"/>
          <w:kern w:val="2"/>
          <w:position w:val="0"/>
          <w:sz w:val="20"/>
          <w:sz w:val="20"/>
          <w:szCs w:val="24"/>
          <w:vertAlign w:val="baseline"/>
          <w:lang w:val="en-US" w:eastAsia="ar-SA"/>
        </w:rPr>
        <w:t xml:space="preserve"> </w:t>
      </w:r>
      <w:r>
        <w:rPr>
          <w:rFonts w:eastAsia="Times New Roman" w:cs="Liberation Serif"/>
          <w:b w:val="false"/>
          <w:bCs/>
          <w:i w:val="false"/>
          <w:iCs w:val="false"/>
          <w:color w:val="000000"/>
          <w:kern w:val="2"/>
          <w:position w:val="0"/>
          <w:sz w:val="20"/>
          <w:sz w:val="20"/>
          <w:szCs w:val="24"/>
          <w:vertAlign w:val="baseline"/>
          <w:lang w:val="en-US" w:eastAsia="ar-SA"/>
        </w:rPr>
        <w:t>P.</w:t>
      </w:r>
      <w:r>
        <w:rPr>
          <w:rFonts w:eastAsia="Times New Roman" w:cs="Liberation Serif"/>
          <w:b w:val="false"/>
          <w:bCs/>
          <w:i w:val="false"/>
          <w:iCs w:val="false"/>
          <w:color w:val="000000"/>
          <w:kern w:val="2"/>
          <w:position w:val="0"/>
          <w:sz w:val="20"/>
          <w:sz w:val="20"/>
          <w:szCs w:val="24"/>
          <w:vertAlign w:val="baseline"/>
          <w:lang w:val="en-US" w:eastAsia="ar-SA"/>
        </w:rPr>
        <w:t>13703</w:t>
      </w:r>
      <w:r>
        <w:rPr>
          <w:rFonts w:eastAsia="Times New Roman" w:cs="Liberation Serif"/>
          <w:b w:val="false"/>
          <w:bCs/>
          <w:i w:val="false"/>
          <w:iCs w:val="false"/>
          <w:color w:val="000000"/>
          <w:kern w:val="2"/>
          <w:position w:val="0"/>
          <w:sz w:val="20"/>
          <w:sz w:val="20"/>
          <w:szCs w:val="24"/>
          <w:vertAlign w:val="baseline"/>
          <w:lang w:val="en-US" w:eastAsia="ar-SA"/>
        </w:rPr>
        <w:t>:1-14.</w:t>
      </w:r>
    </w:p>
    <w:sectPr>
      <w:type w:val="nextPage"/>
      <w:pgSz w:w="8391" w:h="11906"/>
      <w:pgMar w:left="851"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Courier New">
    <w:charset w:val="01"/>
    <w:family w:val="roman"/>
    <w:pitch w:val="variable"/>
  </w:font>
  <w:font w:name="Arial">
    <w:charset w:val="01"/>
    <w:family w:val="roman"/>
    <w:pitch w:val="variable"/>
  </w:font>
  <w:font w:name="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0"/>
        <w:b/>
        <w:rFonts w:eastAsia="Times New Roman"/>
      </w:rPr>
    </w:lvl>
    <w:lvl w:ilvl="1">
      <w:start w:val="1"/>
      <w:numFmt w:val="lowerLetter"/>
      <w:lvlText w:val="%2."/>
      <w:lvlJc w:val="left"/>
      <w:pPr>
        <w:ind w:left="0" w:hanging="0"/>
      </w:pPr>
      <w:rPr>
        <w:rFonts w:eastAsia="Times New Roman"/>
      </w:rPr>
    </w:lvl>
    <w:lvl w:ilvl="2">
      <w:start w:val="1"/>
      <w:numFmt w:val="lowerRoman"/>
      <w:lvlText w:val="%3."/>
      <w:lvlJc w:val="right"/>
      <w:pPr>
        <w:ind w:left="0" w:hanging="0"/>
      </w:pPr>
      <w:rPr>
        <w:rFonts w:eastAsia="Times New Roman"/>
      </w:rPr>
    </w:lvl>
    <w:lvl w:ilvl="3">
      <w:start w:val="1"/>
      <w:numFmt w:val="decimal"/>
      <w:lvlText w:val="%4."/>
      <w:lvlJc w:val="left"/>
      <w:pPr>
        <w:ind w:left="0" w:hanging="0"/>
      </w:pPr>
      <w:rPr>
        <w:rFonts w:eastAsia="Times New Roman"/>
      </w:rPr>
    </w:lvl>
    <w:lvl w:ilvl="4">
      <w:start w:val="1"/>
      <w:numFmt w:val="lowerLetter"/>
      <w:lvlText w:val="%5."/>
      <w:lvlJc w:val="left"/>
      <w:pPr>
        <w:ind w:left="0" w:hanging="0"/>
      </w:pPr>
      <w:rPr>
        <w:rFonts w:eastAsia="Times New Roman"/>
      </w:rPr>
    </w:lvl>
    <w:lvl w:ilvl="5">
      <w:start w:val="1"/>
      <w:numFmt w:val="lowerRoman"/>
      <w:lvlText w:val="%6."/>
      <w:lvlJc w:val="right"/>
      <w:pPr>
        <w:ind w:left="0" w:hanging="0"/>
      </w:pPr>
      <w:rPr>
        <w:rFonts w:eastAsia="Times New Roman"/>
      </w:rPr>
    </w:lvl>
    <w:lvl w:ilvl="6">
      <w:start w:val="1"/>
      <w:numFmt w:val="decimal"/>
      <w:lvlText w:val="%7."/>
      <w:lvlJc w:val="left"/>
      <w:pPr>
        <w:ind w:left="0" w:hanging="0"/>
      </w:pPr>
      <w:rPr>
        <w:rFonts w:eastAsia="Times New Roman"/>
      </w:rPr>
    </w:lvl>
    <w:lvl w:ilvl="7">
      <w:start w:val="1"/>
      <w:numFmt w:val="lowerLetter"/>
      <w:lvlText w:val="%8."/>
      <w:lvlJc w:val="left"/>
      <w:pPr>
        <w:ind w:left="0" w:hanging="0"/>
      </w:pPr>
      <w:rPr>
        <w:rFonts w:eastAsia="Times New Roman"/>
      </w:rPr>
    </w:lvl>
    <w:lvl w:ilvl="8">
      <w:start w:val="1"/>
      <w:numFmt w:val="lowerRoman"/>
      <w:lvlText w:val="%9."/>
      <w:lvlJc w:val="right"/>
      <w:pPr>
        <w:ind w:left="0" w:hanging="0"/>
      </w:pPr>
      <w:rPr>
        <w:rFonts w:eastAsia="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0"/>
        <w:szCs w:val="24"/>
        <w:lang w:val="en-US" w:eastAsia="zh-CN" w:bidi="hi-IN"/>
      </w:rPr>
    </w:rPrDefault>
    <w:pPrDefault>
      <w:pPr/>
    </w:pPrDefault>
  </w:docDefaults>
  <w:style w:type="paragraph" w:styleId="Normal">
    <w:name w:val="Normal"/>
    <w:qFormat/>
    <w:pPr>
      <w:widowControl w:val="false"/>
      <w:suppressAutoHyphens w:val="true"/>
      <w:bidi w:val="0"/>
      <w:jc w:val="left"/>
      <w:textAlignment w:val="auto"/>
    </w:pPr>
    <w:rPr>
      <w:rFonts w:ascii="Times New Roman" w:hAnsi="Times New Roman" w:eastAsia="Times New Roman" w:cs="Liberation Serif"/>
      <w:color w:val="000000"/>
      <w:kern w:val="2"/>
      <w:sz w:val="24"/>
      <w:szCs w:val="24"/>
      <w:lang w:val="ru-RU" w:eastAsia="ar-SA" w:bidi="hi-IN"/>
    </w:rPr>
  </w:style>
  <w:style w:type="paragraph" w:styleId="Heading1">
    <w:name w:val="Heading 1"/>
    <w:basedOn w:val="Heading"/>
    <w:qFormat/>
    <w:pPr>
      <w:keepNext w:val="true"/>
      <w:widowControl w:val="false"/>
      <w:bidi w:val="0"/>
      <w:spacing w:before="240" w:after="120"/>
      <w:jc w:val="left"/>
      <w:textAlignment w:val="auto"/>
      <w:outlineLvl w:val="0"/>
    </w:pPr>
    <w:rPr>
      <w:rFonts w:ascii="Liberation Serif" w:hAnsi="Liberation Serif" w:eastAsia="Lohit Devanagari"/>
      <w:b/>
      <w:sz w:val="48"/>
      <w:lang w:val="ru-RU" w:eastAsia="ar-SA"/>
    </w:rPr>
  </w:style>
  <w:style w:type="character" w:styleId="DefaultParagraphFont">
    <w:name w:val="Default Paragraph Font"/>
    <w:qFormat/>
    <w:rPr/>
  </w:style>
  <w:style w:type="character" w:styleId="Style13">
    <w:name w:val="Основной текст Знак"/>
    <w:basedOn w:val="DefaultParagraphFont"/>
    <w:qFormat/>
    <w:rPr>
      <w:rFonts w:ascii="Times New Roman" w:hAnsi="Times New Roman" w:eastAsia="Times New Roman"/>
      <w:sz w:val="24"/>
    </w:rPr>
  </w:style>
  <w:style w:type="character" w:styleId="RTFNum22">
    <w:name w:val="RTF_Num 2 2"/>
    <w:qFormat/>
    <w:rPr>
      <w:rFonts w:ascii="Courier New" w:hAnsi="Courier New" w:cs="Courier New"/>
    </w:rPr>
  </w:style>
  <w:style w:type="character" w:styleId="RTFNum25">
    <w:name w:val="RTF_Num 2 5"/>
    <w:qFormat/>
    <w:rPr>
      <w:rFonts w:ascii="Courier New" w:hAnsi="Courier New" w:cs="Courier New"/>
    </w:rPr>
  </w:style>
  <w:style w:type="character" w:styleId="RTFNum28">
    <w:name w:val="RTF_Num 2 8"/>
    <w:qFormat/>
    <w:rPr>
      <w:rFonts w:ascii="Courier New" w:hAnsi="Courier New" w:cs="Courier New"/>
    </w:rPr>
  </w:style>
  <w:style w:type="character" w:styleId="RTFNum31">
    <w:name w:val="RTF_Num 3 1"/>
    <w:qFormat/>
    <w:rPr>
      <w:rFonts w:eastAsia="Times New Roman"/>
    </w:rPr>
  </w:style>
  <w:style w:type="character" w:styleId="RTFNum32">
    <w:name w:val="RTF_Num 3 2"/>
    <w:qFormat/>
    <w:rPr>
      <w:rFonts w:eastAsia="Times New Roman"/>
    </w:rPr>
  </w:style>
  <w:style w:type="character" w:styleId="RTFNum33">
    <w:name w:val="RTF_Num 3 3"/>
    <w:qFormat/>
    <w:rPr>
      <w:rFonts w:eastAsia="Times New Roman"/>
    </w:rPr>
  </w:style>
  <w:style w:type="character" w:styleId="RTFNum34">
    <w:name w:val="RTF_Num 3 4"/>
    <w:qFormat/>
    <w:rPr>
      <w:rFonts w:eastAsia="Times New Roman"/>
    </w:rPr>
  </w:style>
  <w:style w:type="character" w:styleId="RTFNum35">
    <w:name w:val="RTF_Num 3 5"/>
    <w:qFormat/>
    <w:rPr>
      <w:rFonts w:eastAsia="Times New Roman"/>
    </w:rPr>
  </w:style>
  <w:style w:type="character" w:styleId="RTFNum36">
    <w:name w:val="RTF_Num 3 6"/>
    <w:qFormat/>
    <w:rPr>
      <w:rFonts w:eastAsia="Times New Roman"/>
    </w:rPr>
  </w:style>
  <w:style w:type="character" w:styleId="RTFNum37">
    <w:name w:val="RTF_Num 3 7"/>
    <w:qFormat/>
    <w:rPr>
      <w:rFonts w:eastAsia="Times New Roman"/>
    </w:rPr>
  </w:style>
  <w:style w:type="character" w:styleId="RTFNum38">
    <w:name w:val="RTF_Num 3 8"/>
    <w:qFormat/>
    <w:rPr>
      <w:rFonts w:eastAsia="Times New Roman"/>
    </w:rPr>
  </w:style>
  <w:style w:type="character" w:styleId="RTFNum39">
    <w:name w:val="RTF_Num 3 9"/>
    <w:qFormat/>
    <w:rPr>
      <w:rFonts w:eastAsia="Times New Roman"/>
    </w:rPr>
  </w:style>
  <w:style w:type="character" w:styleId="RTFNum42">
    <w:name w:val="RTF_Num 4 2"/>
    <w:qFormat/>
    <w:rPr>
      <w:rFonts w:ascii="Courier New" w:hAnsi="Courier New" w:cs="Courier New"/>
    </w:rPr>
  </w:style>
  <w:style w:type="character" w:styleId="RTFNum45">
    <w:name w:val="RTF_Num 4 5"/>
    <w:qFormat/>
    <w:rPr>
      <w:rFonts w:ascii="Courier New" w:hAnsi="Courier New" w:cs="Courier New"/>
    </w:rPr>
  </w:style>
  <w:style w:type="character" w:styleId="RTFNum48">
    <w:name w:val="RTF_Num 4 8"/>
    <w:qFormat/>
    <w:rPr>
      <w:rFonts w:ascii="Courier New" w:hAnsi="Courier New" w:cs="Courier New"/>
    </w:rPr>
  </w:style>
  <w:style w:type="character" w:styleId="RTFNum51">
    <w:name w:val="RTF_Num 5 1"/>
    <w:qFormat/>
    <w:rPr>
      <w:rFonts w:eastAsia="Times New Roman"/>
    </w:rPr>
  </w:style>
  <w:style w:type="character" w:styleId="RTFNum52">
    <w:name w:val="RTF_Num 5 2"/>
    <w:qFormat/>
    <w:rPr>
      <w:rFonts w:eastAsia="Times New Roman"/>
    </w:rPr>
  </w:style>
  <w:style w:type="character" w:styleId="RTFNum53">
    <w:name w:val="RTF_Num 5 3"/>
    <w:qFormat/>
    <w:rPr>
      <w:rFonts w:eastAsia="Times New Roman"/>
    </w:rPr>
  </w:style>
  <w:style w:type="character" w:styleId="RTFNum54">
    <w:name w:val="RTF_Num 5 4"/>
    <w:qFormat/>
    <w:rPr>
      <w:rFonts w:eastAsia="Times New Roman"/>
    </w:rPr>
  </w:style>
  <w:style w:type="character" w:styleId="RTFNum55">
    <w:name w:val="RTF_Num 5 5"/>
    <w:qFormat/>
    <w:rPr>
      <w:rFonts w:eastAsia="Times New Roman"/>
    </w:rPr>
  </w:style>
  <w:style w:type="character" w:styleId="RTFNum56">
    <w:name w:val="RTF_Num 5 6"/>
    <w:qFormat/>
    <w:rPr>
      <w:rFonts w:eastAsia="Times New Roman"/>
    </w:rPr>
  </w:style>
  <w:style w:type="character" w:styleId="RTFNum57">
    <w:name w:val="RTF_Num 5 7"/>
    <w:qFormat/>
    <w:rPr>
      <w:rFonts w:eastAsia="Times New Roman"/>
    </w:rPr>
  </w:style>
  <w:style w:type="character" w:styleId="RTFNum58">
    <w:name w:val="RTF_Num 5 8"/>
    <w:qFormat/>
    <w:rPr>
      <w:rFonts w:eastAsia="Times New Roman"/>
    </w:rPr>
  </w:style>
  <w:style w:type="character" w:styleId="RTFNum59">
    <w:name w:val="RTF_Num 5 9"/>
    <w:qFormat/>
    <w:rPr>
      <w:rFonts w:eastAsia="Times New Roman"/>
    </w:rPr>
  </w:style>
  <w:style w:type="character" w:styleId="RTFNum62">
    <w:name w:val="RTF_Num 6 2"/>
    <w:qFormat/>
    <w:rPr>
      <w:rFonts w:ascii="Courier New" w:hAnsi="Courier New" w:cs="Courier New"/>
    </w:rPr>
  </w:style>
  <w:style w:type="character" w:styleId="RTFNum65">
    <w:name w:val="RTF_Num 6 5"/>
    <w:qFormat/>
    <w:rPr>
      <w:rFonts w:ascii="Courier New" w:hAnsi="Courier New" w:cs="Courier New"/>
    </w:rPr>
  </w:style>
  <w:style w:type="character" w:styleId="RTFNum68">
    <w:name w:val="RTF_Num 6 8"/>
    <w:qFormat/>
    <w:rPr>
      <w:rFonts w:ascii="Courier New" w:hAnsi="Courier New" w:cs="Courier New"/>
    </w:rPr>
  </w:style>
  <w:style w:type="character" w:styleId="Internetlink">
    <w:name w:val="Internet link"/>
    <w:qFormat/>
    <w:rPr>
      <w:rFonts w:eastAsia="Times New Roman"/>
      <w:color w:val="000080"/>
      <w:u w:val="single"/>
      <w:lang w:eastAsia="zxx"/>
    </w:rPr>
  </w:style>
  <w:style w:type="character" w:styleId="InternetLink1">
    <w:name w:val="Internet Link"/>
    <w:basedOn w:val="DefaultParagraphFont"/>
    <w:rPr>
      <w:rFonts w:eastAsia="Times New Roman"/>
      <w:color w:val="0000FF"/>
      <w:u w:val="single"/>
    </w:rPr>
  </w:style>
  <w:style w:type="character" w:styleId="ListLabel1">
    <w:name w:val="ListLabel 1"/>
    <w:qFormat/>
    <w:rPr>
      <w:rFonts w:ascii="Times New Roman" w:hAnsi="Times New Roman" w:eastAsia="Times New Roman"/>
      <w:b/>
      <w:sz w:val="20"/>
    </w:rPr>
  </w:style>
  <w:style w:type="character" w:styleId="ListLabel2">
    <w:name w:val="ListLabel 2"/>
    <w:qFormat/>
    <w:rPr>
      <w:rFonts w:eastAsia="Times New Roman"/>
    </w:rPr>
  </w:style>
  <w:style w:type="character" w:styleId="ListLabel3">
    <w:name w:val="ListLabel 3"/>
    <w:qFormat/>
    <w:rPr>
      <w:rFonts w:eastAsia="Times New Roman"/>
    </w:rPr>
  </w:style>
  <w:style w:type="character" w:styleId="ListLabel4">
    <w:name w:val="ListLabel 4"/>
    <w:qFormat/>
    <w:rPr>
      <w:rFonts w:eastAsia="Times New Roman"/>
    </w:rPr>
  </w:style>
  <w:style w:type="character" w:styleId="ListLabel5">
    <w:name w:val="ListLabel 5"/>
    <w:qFormat/>
    <w:rPr>
      <w:rFonts w:eastAsia="Times New Roman"/>
    </w:rPr>
  </w:style>
  <w:style w:type="character" w:styleId="ListLabel6">
    <w:name w:val="ListLabel 6"/>
    <w:qFormat/>
    <w:rPr>
      <w:rFonts w:eastAsia="Times New Roman"/>
    </w:rPr>
  </w:style>
  <w:style w:type="character" w:styleId="ListLabel7">
    <w:name w:val="ListLabel 7"/>
    <w:qFormat/>
    <w:rPr>
      <w:rFonts w:eastAsia="Times New Roman"/>
    </w:rPr>
  </w:style>
  <w:style w:type="character" w:styleId="ListLabel8">
    <w:name w:val="ListLabel 8"/>
    <w:qFormat/>
    <w:rPr>
      <w:rFonts w:eastAsia="Times New Roman"/>
    </w:rPr>
  </w:style>
  <w:style w:type="character" w:styleId="ListLabel9">
    <w:name w:val="ListLabel 9"/>
    <w:qFormat/>
    <w:rPr>
      <w:rFonts w:eastAsia="Times New Roman"/>
    </w:rPr>
  </w:style>
  <w:style w:type="character" w:styleId="1">
    <w:name w:val="Основной шрифт абзаца1"/>
    <w:qFormat/>
    <w:rPr/>
  </w:style>
  <w:style w:type="character" w:styleId="Contribauthor">
    <w:name w:val="contrib-author"/>
    <w:basedOn w:val="1"/>
    <w:qFormat/>
    <w:rPr/>
  </w:style>
  <w:style w:type="character" w:styleId="Emphasis">
    <w:name w:val="Emphasis"/>
    <w:qFormat/>
    <w:rPr>
      <w:i/>
    </w:rPr>
  </w:style>
  <w:style w:type="character" w:styleId="ListLabel10">
    <w:name w:val="ListLabel 10"/>
    <w:qFormat/>
    <w:rPr>
      <w:rFonts w:ascii="Times New Roman" w:hAnsi="Times New Roman" w:eastAsia="Times New Roman"/>
      <w:b/>
      <w:sz w:val="20"/>
    </w:rPr>
  </w:style>
  <w:style w:type="character" w:styleId="ListLabel11">
    <w:name w:val="ListLabel 11"/>
    <w:qFormat/>
    <w:rPr>
      <w:rFonts w:eastAsia="Times New Roman"/>
    </w:rPr>
  </w:style>
  <w:style w:type="character" w:styleId="ListLabel12">
    <w:name w:val="ListLabel 12"/>
    <w:qFormat/>
    <w:rPr>
      <w:rFonts w:eastAsia="Times New Roman"/>
    </w:rPr>
  </w:style>
  <w:style w:type="character" w:styleId="ListLabel13">
    <w:name w:val="ListLabel 13"/>
    <w:qFormat/>
    <w:rPr>
      <w:rFonts w:eastAsia="Times New Roman"/>
    </w:rPr>
  </w:style>
  <w:style w:type="character" w:styleId="ListLabel14">
    <w:name w:val="ListLabel 14"/>
    <w:qFormat/>
    <w:rPr>
      <w:rFonts w:eastAsia="Times New Roman"/>
    </w:rPr>
  </w:style>
  <w:style w:type="character" w:styleId="ListLabel15">
    <w:name w:val="ListLabel 15"/>
    <w:qFormat/>
    <w:rPr>
      <w:rFonts w:eastAsia="Times New Roman"/>
    </w:rPr>
  </w:style>
  <w:style w:type="character" w:styleId="ListLabel16">
    <w:name w:val="ListLabel 16"/>
    <w:qFormat/>
    <w:rPr>
      <w:rFonts w:eastAsia="Times New Roman"/>
    </w:rPr>
  </w:style>
  <w:style w:type="character" w:styleId="ListLabel17">
    <w:name w:val="ListLabel 17"/>
    <w:qFormat/>
    <w:rPr>
      <w:rFonts w:eastAsia="Times New Roman"/>
    </w:rPr>
  </w:style>
  <w:style w:type="character" w:styleId="ListLabel18">
    <w:name w:val="ListLabel 18"/>
    <w:qFormat/>
    <w:rPr>
      <w:rFonts w:eastAsia="Times New Roman"/>
    </w:rPr>
  </w:style>
  <w:style w:type="character" w:styleId="ListLabel19">
    <w:name w:val="ListLabel 19"/>
    <w:qFormat/>
    <w:rPr>
      <w:rFonts w:eastAsia="Times New Roman"/>
      <w:b/>
      <w:sz w:val="20"/>
    </w:rPr>
  </w:style>
  <w:style w:type="character" w:styleId="ListLabel20">
    <w:name w:val="ListLabel 20"/>
    <w:qFormat/>
    <w:rPr>
      <w:rFonts w:eastAsia="Times New Roman"/>
    </w:rPr>
  </w:style>
  <w:style w:type="character" w:styleId="ListLabel21">
    <w:name w:val="ListLabel 21"/>
    <w:qFormat/>
    <w:rPr>
      <w:rFonts w:eastAsia="Times New Roman"/>
    </w:rPr>
  </w:style>
  <w:style w:type="character" w:styleId="ListLabel22">
    <w:name w:val="ListLabel 22"/>
    <w:qFormat/>
    <w:rPr>
      <w:rFonts w:eastAsia="Times New Roman"/>
    </w:rPr>
  </w:style>
  <w:style w:type="character" w:styleId="ListLabel23">
    <w:name w:val="ListLabel 23"/>
    <w:qFormat/>
    <w:rPr>
      <w:rFonts w:eastAsia="Times New Roman"/>
    </w:rPr>
  </w:style>
  <w:style w:type="character" w:styleId="ListLabel24">
    <w:name w:val="ListLabel 24"/>
    <w:qFormat/>
    <w:rPr>
      <w:rFonts w:eastAsia="Times New Roman"/>
    </w:rPr>
  </w:style>
  <w:style w:type="character" w:styleId="ListLabel25">
    <w:name w:val="ListLabel 25"/>
    <w:qFormat/>
    <w:rPr>
      <w:rFonts w:eastAsia="Times New Roman"/>
    </w:rPr>
  </w:style>
  <w:style w:type="character" w:styleId="ListLabel26">
    <w:name w:val="ListLabel 26"/>
    <w:qFormat/>
    <w:rPr>
      <w:rFonts w:eastAsia="Times New Roman"/>
    </w:rPr>
  </w:style>
  <w:style w:type="character" w:styleId="ListLabel27">
    <w:name w:val="ListLabel 27"/>
    <w:qFormat/>
    <w:rPr>
      <w:rFonts w:eastAsia="Times New Roman"/>
    </w:rPr>
  </w:style>
  <w:style w:type="paragraph" w:styleId="Heading">
    <w:name w:val="Heading"/>
    <w:basedOn w:val="Normal"/>
    <w:next w:val="TextBody"/>
    <w:qFormat/>
    <w:pPr>
      <w:keepNext w:val="true"/>
      <w:widowControl w:val="false"/>
      <w:bidi w:val="0"/>
      <w:spacing w:before="240" w:after="120"/>
      <w:jc w:val="left"/>
      <w:textAlignment w:val="auto"/>
    </w:pPr>
    <w:rPr>
      <w:rFonts w:ascii="Arial" w:hAnsi="Arial" w:eastAsia="Lohit Hindi"/>
      <w:sz w:val="28"/>
      <w:lang w:val="ru-RU" w:eastAsia="ar-SA"/>
    </w:rPr>
  </w:style>
  <w:style w:type="paragraph" w:styleId="TextBody">
    <w:name w:val="Body Text"/>
    <w:basedOn w:val="Normal"/>
    <w:pPr>
      <w:widowControl w:val="false"/>
      <w:bidi w:val="0"/>
      <w:spacing w:before="0" w:after="120"/>
      <w:jc w:val="left"/>
      <w:textAlignment w:val="auto"/>
    </w:pPr>
    <w:rPr>
      <w:rFonts w:ascii="Times New Roman" w:hAnsi="Times New Roman" w:eastAsia="Times New Roman"/>
      <w:sz w:val="24"/>
      <w:lang w:val="ru-RU" w:eastAsia="ar-SA"/>
    </w:rPr>
  </w:style>
  <w:style w:type="paragraph" w:styleId="List">
    <w:name w:val="List"/>
    <w:basedOn w:val="TextBody"/>
    <w:pPr>
      <w:widowControl w:val="false"/>
      <w:bidi w:val="0"/>
      <w:spacing w:before="0" w:after="120"/>
      <w:jc w:val="left"/>
      <w:textAlignment w:val="auto"/>
    </w:pPr>
    <w:rPr>
      <w:rFonts w:ascii="Times New Roman" w:hAnsi="Times New Roman" w:eastAsia="Times New Roman"/>
      <w:sz w:val="24"/>
      <w:lang w:val="ru-RU" w:eastAsia="ar-SA"/>
    </w:rPr>
  </w:style>
  <w:style w:type="paragraph" w:styleId="Caption">
    <w:name w:val="Caption"/>
    <w:basedOn w:val="Normal"/>
    <w:qFormat/>
    <w:pPr>
      <w:widowControl w:val="false"/>
      <w:bidi w:val="0"/>
      <w:spacing w:before="120" w:after="120"/>
      <w:jc w:val="left"/>
      <w:textAlignment w:val="auto"/>
    </w:pPr>
    <w:rPr>
      <w:rFonts w:ascii="Times New Roman" w:hAnsi="Times New Roman" w:eastAsia="Lohit Devanagari"/>
      <w:i/>
      <w:sz w:val="24"/>
      <w:lang w:val="ru-RU" w:eastAsia="ar-SA"/>
    </w:rPr>
  </w:style>
  <w:style w:type="paragraph" w:styleId="Index">
    <w:name w:val="Index"/>
    <w:basedOn w:val="Normal"/>
    <w:qFormat/>
    <w:pPr>
      <w:widowControl w:val="false"/>
      <w:bidi w:val="0"/>
      <w:jc w:val="left"/>
      <w:textAlignment w:val="auto"/>
    </w:pPr>
    <w:rPr>
      <w:rFonts w:ascii="Times New Roman" w:hAnsi="Times New Roman" w:eastAsia="Times New Roman"/>
      <w:sz w:val="24"/>
      <w:lang w:val="ru-RU" w:eastAsia="ar-SA"/>
    </w:rPr>
  </w:style>
  <w:style w:type="paragraph" w:styleId="DocumentMap">
    <w:name w:val="DocumentMap"/>
    <w:qFormat/>
    <w:pPr>
      <w:widowControl/>
      <w:suppressAutoHyphens w:val="true"/>
      <w:bidi w:val="0"/>
      <w:spacing w:lineRule="auto" w:line="276" w:before="0" w:after="200"/>
      <w:jc w:val="left"/>
      <w:textAlignment w:val="auto"/>
    </w:pPr>
    <w:rPr>
      <w:rFonts w:ascii="Calibri" w:hAnsi="Calibri" w:eastAsia="Calibri" w:cs="Liberation Serif"/>
      <w:color w:val="000000"/>
      <w:kern w:val="2"/>
      <w:sz w:val="22"/>
      <w:szCs w:val="24"/>
      <w:lang w:val="ru-RU" w:eastAsia="ar-SA" w:bidi="hi-IN"/>
    </w:rPr>
  </w:style>
  <w:style w:type="paragraph" w:styleId="Caption1">
    <w:name w:val="caption"/>
    <w:basedOn w:val="Normal"/>
    <w:qFormat/>
    <w:pPr>
      <w:widowControl w:val="false"/>
      <w:bidi w:val="0"/>
      <w:spacing w:before="120" w:after="120"/>
      <w:jc w:val="left"/>
      <w:textAlignment w:val="auto"/>
    </w:pPr>
    <w:rPr>
      <w:rFonts w:ascii="Times New Roman" w:hAnsi="Times New Roman" w:eastAsia="Times New Roman"/>
      <w:i/>
      <w:sz w:val="24"/>
      <w:lang w:val="ru-RU"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LibreOffice/6.0.7.3$Linux_X86_64 LibreOffice_project/00m0$Build-3</Application>
  <Pages>1</Pages>
  <Words>315</Words>
  <Characters>1997</Characters>
  <CharactersWithSpaces>2305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2011-01-04T16:12:00Z</dcterms:created>
  <dc:creator>Admin</dc:creator>
  <dc:description/>
  <dc:language>en-US</dc:language>
  <cp:lastModifiedBy/>
  <dcterms:modified xsi:type="dcterms:W3CDTF">2020-03-14T23:26:29Z</dcterms:modified>
  <cp:revision>3</cp:revision>
  <dc:subject/>
  <dc:title>ﾇﾐﾀﾇﾎﾊ ﾎﾔﾎﾐﾌﾋﾅﾍﾍﾟ ﾒﾅﾇ ﾄﾎﾏﾎﾂｲﾄｲ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XTreme.ws</vt:lpwstr>
  </property>
</Properties>
</file>