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Spectral" w:cs="Spectral" w:eastAsia="Spectral" w:hAnsi="Spectral"/>
          <w:b w:val="1"/>
          <w:sz w:val="28"/>
          <w:szCs w:val="28"/>
        </w:rPr>
      </w:pPr>
      <w:r w:rsidDel="00000000" w:rsidR="00000000" w:rsidRPr="00000000">
        <w:rPr>
          <w:rFonts w:ascii="Spectral" w:cs="Spectral" w:eastAsia="Spectral" w:hAnsi="Spectral"/>
          <w:b w:val="1"/>
          <w:sz w:val="28"/>
          <w:szCs w:val="28"/>
          <w:rtl w:val="0"/>
        </w:rPr>
        <w:t xml:space="preserve">Calorimetric and thermogravimetric study of aluminum reinforced with thermally expanded graphite</w:t>
      </w:r>
    </w:p>
    <w:p w:rsidR="00000000" w:rsidDel="00000000" w:rsidP="00000000" w:rsidRDefault="00000000" w:rsidRPr="00000000" w14:paraId="00000002">
      <w:pPr>
        <w:spacing w:after="0" w:line="240" w:lineRule="auto"/>
        <w:rPr>
          <w:rFonts w:ascii="AdvOT863180fb" w:cs="AdvOT863180fb" w:eastAsia="AdvOT863180fb" w:hAnsi="AdvOT863180fb"/>
          <w:color w:val="2197d2"/>
          <w:sz w:val="24"/>
          <w:szCs w:val="24"/>
          <w:vertAlign w:val="superscript"/>
        </w:rPr>
      </w:pPr>
      <w:r w:rsidDel="00000000" w:rsidR="00000000" w:rsidRPr="00000000">
        <w:rPr>
          <w:rFonts w:ascii="AdvOT863180fb" w:cs="AdvOT863180fb" w:eastAsia="AdvOT863180fb" w:hAnsi="AdvOT863180fb"/>
          <w:sz w:val="24"/>
          <w:szCs w:val="24"/>
          <w:rtl w:val="0"/>
        </w:rPr>
        <w:t xml:space="preserve">S. Revo</w:t>
      </w:r>
      <w:r w:rsidDel="00000000" w:rsidR="00000000" w:rsidRPr="00000000">
        <w:rPr>
          <w:rFonts w:ascii="AdvOT863180fb" w:cs="AdvOT863180fb" w:eastAsia="AdvOT863180fb" w:hAnsi="AdvOT863180fb"/>
          <w:sz w:val="24"/>
          <w:szCs w:val="24"/>
          <w:vertAlign w:val="superscript"/>
          <w:rtl w:val="0"/>
        </w:rPr>
        <w:t xml:space="preserve">2*</w:t>
      </w:r>
      <w:r w:rsidDel="00000000" w:rsidR="00000000" w:rsidRPr="00000000">
        <w:rPr>
          <w:rFonts w:ascii="AdvOT863180fb" w:cs="AdvOT863180fb" w:eastAsia="AdvOT863180fb" w:hAnsi="AdvOT863180fb"/>
          <w:sz w:val="24"/>
          <w:szCs w:val="24"/>
          <w:rtl w:val="0"/>
        </w:rPr>
        <w:t xml:space="preserve">, M.C. Bouleklab</w:t>
      </w:r>
      <w:r w:rsidDel="00000000" w:rsidR="00000000" w:rsidRPr="00000000">
        <w:rPr>
          <w:rFonts w:ascii="AdvOT863180fb" w:cs="AdvOT863180fb" w:eastAsia="AdvOT863180fb" w:hAnsi="AdvOT863180fb"/>
          <w:sz w:val="24"/>
          <w:szCs w:val="24"/>
          <w:vertAlign w:val="superscript"/>
          <w:rtl w:val="0"/>
        </w:rPr>
        <w:t xml:space="preserve">1</w:t>
      </w:r>
      <w:r w:rsidDel="00000000" w:rsidR="00000000" w:rsidRPr="00000000">
        <w:rPr>
          <w:rFonts w:ascii="AdvOT863180fb" w:cs="AdvOT863180fb" w:eastAsia="AdvOT863180fb" w:hAnsi="AdvOT863180fb"/>
          <w:sz w:val="24"/>
          <w:szCs w:val="24"/>
          <w:rtl w:val="0"/>
        </w:rPr>
        <w:t xml:space="preserve">, Y. Naoui</w:t>
      </w:r>
      <w:r w:rsidDel="00000000" w:rsidR="00000000" w:rsidRPr="00000000">
        <w:rPr>
          <w:rFonts w:ascii="AdvOT863180fb" w:cs="AdvOT863180fb" w:eastAsia="AdvOT863180fb" w:hAnsi="AdvOT863180fb"/>
          <w:sz w:val="24"/>
          <w:szCs w:val="24"/>
          <w:vertAlign w:val="superscript"/>
          <w:rtl w:val="0"/>
        </w:rPr>
        <w:t xml:space="preserve">1</w:t>
      </w:r>
      <w:r w:rsidDel="00000000" w:rsidR="00000000" w:rsidRPr="00000000">
        <w:rPr>
          <w:rFonts w:ascii="AdvOT863180fb" w:cs="AdvOT863180fb" w:eastAsia="AdvOT863180fb" w:hAnsi="AdvOT863180fb"/>
          <w:sz w:val="24"/>
          <w:szCs w:val="24"/>
          <w:rtl w:val="0"/>
        </w:rPr>
        <w:t xml:space="preserve">, T. Dorbani</w:t>
      </w:r>
      <w:r w:rsidDel="00000000" w:rsidR="00000000" w:rsidRPr="00000000">
        <w:rPr>
          <w:rFonts w:ascii="AdvOT863180fb" w:cs="AdvOT863180fb" w:eastAsia="AdvOT863180fb" w:hAnsi="AdvOT863180fb"/>
          <w:sz w:val="24"/>
          <w:szCs w:val="24"/>
          <w:vertAlign w:val="superscript"/>
          <w:rtl w:val="0"/>
        </w:rPr>
        <w:t xml:space="preserve">1</w:t>
      </w:r>
      <w:r w:rsidDel="00000000" w:rsidR="00000000" w:rsidRPr="00000000">
        <w:rPr>
          <w:rFonts w:ascii="AdvOT863180fb" w:cs="AdvOT863180fb" w:eastAsia="AdvOT863180fb" w:hAnsi="AdvOT863180fb"/>
          <w:sz w:val="24"/>
          <w:szCs w:val="24"/>
          <w:rtl w:val="0"/>
        </w:rPr>
        <w:t xml:space="preserve">, Y. Djarri</w:t>
      </w:r>
      <w:r w:rsidDel="00000000" w:rsidR="00000000" w:rsidRPr="00000000">
        <w:rPr>
          <w:rFonts w:ascii="AdvOT863180fb" w:cs="AdvOT863180fb" w:eastAsia="AdvOT863180fb" w:hAnsi="AdvOT863180fb"/>
          <w:sz w:val="24"/>
          <w:szCs w:val="24"/>
          <w:vertAlign w:val="superscript"/>
          <w:rtl w:val="0"/>
        </w:rPr>
        <w:t xml:space="preserve">1</w:t>
      </w:r>
      <w:r w:rsidDel="00000000" w:rsidR="00000000" w:rsidRPr="00000000">
        <w:rPr>
          <w:rFonts w:ascii="AdvOT863180fb" w:cs="AdvOT863180fb" w:eastAsia="AdvOT863180fb" w:hAnsi="AdvOT863180fb"/>
          <w:sz w:val="24"/>
          <w:szCs w:val="24"/>
          <w:rtl w:val="0"/>
        </w:rPr>
        <w:t xml:space="preserve">,  S. Hamamda</w:t>
      </w:r>
      <w:r w:rsidDel="00000000" w:rsidR="00000000" w:rsidRPr="00000000">
        <w:rPr>
          <w:rFonts w:ascii="AdvOT863180fb" w:cs="AdvOT863180fb" w:eastAsia="AdvOT863180fb" w:hAnsi="AdvOT863180fb"/>
          <w:sz w:val="24"/>
          <w:szCs w:val="24"/>
          <w:vertAlign w:val="superscript"/>
          <w:rtl w:val="0"/>
        </w:rPr>
        <w:t xml:space="preserve">1</w:t>
      </w:r>
      <w:r w:rsidDel="00000000" w:rsidR="00000000" w:rsidRPr="00000000">
        <w:rPr>
          <w:rFonts w:ascii="AdvOT863180fb" w:cs="AdvOT863180fb" w:eastAsia="AdvOT863180fb" w:hAnsi="AdvOT863180fb"/>
          <w:color w:val="2197d2"/>
          <w:sz w:val="24"/>
          <w:szCs w:val="24"/>
          <w:vertAlign w:val="superscript"/>
          <w:rtl w:val="0"/>
        </w:rPr>
        <w:t xml:space="preserve"> </w:t>
      </w:r>
    </w:p>
    <w:p w:rsidR="00000000" w:rsidDel="00000000" w:rsidP="00000000" w:rsidRDefault="00000000" w:rsidRPr="00000000" w14:paraId="00000003">
      <w:pPr>
        <w:spacing w:after="0" w:line="240" w:lineRule="auto"/>
        <w:rPr>
          <w:rFonts w:ascii="AdvOT863180fb" w:cs="AdvOT863180fb" w:eastAsia="AdvOT863180fb" w:hAnsi="AdvOT863180fb"/>
          <w:color w:val="2197d2"/>
          <w:sz w:val="24"/>
          <w:szCs w:val="24"/>
          <w:vertAlign w:val="superscript"/>
        </w:rPr>
      </w:pPr>
      <w:r w:rsidDel="00000000" w:rsidR="00000000" w:rsidRPr="00000000">
        <w:rPr>
          <w:rtl w:val="0"/>
        </w:rPr>
      </w:r>
    </w:p>
    <w:p w:rsidR="00000000" w:rsidDel="00000000" w:rsidP="00000000" w:rsidRDefault="00000000" w:rsidRPr="00000000" w14:paraId="00000004">
      <w:pPr>
        <w:spacing w:after="0" w:line="240" w:lineRule="auto"/>
        <w:rPr>
          <w:rFonts w:ascii="AdvOTb92eb7df.I" w:cs="AdvOTb92eb7df.I" w:eastAsia="AdvOTb92eb7df.I" w:hAnsi="AdvOTb92eb7df.I"/>
          <w:sz w:val="24"/>
          <w:szCs w:val="24"/>
        </w:rPr>
      </w:pPr>
      <w:r w:rsidDel="00000000" w:rsidR="00000000" w:rsidRPr="00000000">
        <w:rPr>
          <w:rFonts w:ascii="AdvOT863180fb" w:cs="AdvOT863180fb" w:eastAsia="AdvOT863180fb" w:hAnsi="AdvOT863180fb"/>
          <w:sz w:val="24"/>
          <w:szCs w:val="24"/>
          <w:vertAlign w:val="superscript"/>
          <w:rtl w:val="0"/>
        </w:rPr>
        <w:t xml:space="preserve">1</w:t>
      </w:r>
      <w:r w:rsidDel="00000000" w:rsidR="00000000" w:rsidRPr="00000000">
        <w:rPr>
          <w:rFonts w:ascii="AdvOTb92eb7df.I" w:cs="AdvOTb92eb7df.I" w:eastAsia="AdvOTb92eb7df.I" w:hAnsi="AdvOTb92eb7df.I"/>
          <w:sz w:val="24"/>
          <w:szCs w:val="24"/>
          <w:rtl w:val="0"/>
        </w:rPr>
        <w:t xml:space="preserve">Laboratoire de Thermodynamique et Traitement de Surfaces des Matériaux, Université Frères Mentouri Constantine 1, B.P. 325 Route, Ain El Bey, Constantine, 25017, Algérie.</w:t>
      </w:r>
    </w:p>
    <w:p w:rsidR="00000000" w:rsidDel="00000000" w:rsidP="00000000" w:rsidRDefault="00000000" w:rsidRPr="00000000" w14:paraId="00000005">
      <w:pPr>
        <w:spacing w:after="0" w:line="240" w:lineRule="auto"/>
        <w:rPr>
          <w:rFonts w:ascii="Spectral" w:cs="Spectral" w:eastAsia="Spectral" w:hAnsi="Spectral"/>
          <w:b w:val="1"/>
          <w:sz w:val="28"/>
          <w:szCs w:val="28"/>
        </w:rPr>
      </w:pPr>
      <w:r w:rsidDel="00000000" w:rsidR="00000000" w:rsidRPr="00000000">
        <w:rPr>
          <w:rFonts w:ascii="AdvOT863180fb" w:cs="AdvOT863180fb" w:eastAsia="AdvOT863180fb" w:hAnsi="AdvOT863180fb"/>
          <w:sz w:val="24"/>
          <w:szCs w:val="24"/>
          <w:vertAlign w:val="superscript"/>
          <w:rtl w:val="0"/>
        </w:rPr>
        <w:t xml:space="preserve">2*</w:t>
      </w:r>
      <w:r w:rsidDel="00000000" w:rsidR="00000000" w:rsidRPr="00000000">
        <w:rPr>
          <w:rFonts w:ascii="AdvOT863180fb" w:cs="AdvOT863180fb" w:eastAsia="AdvOT863180fb" w:hAnsi="AdvOT863180fb"/>
          <w:sz w:val="24"/>
          <w:szCs w:val="24"/>
          <w:rtl w:val="0"/>
        </w:rPr>
        <w:t xml:space="preserve"> </w:t>
      </w:r>
      <w:r w:rsidDel="00000000" w:rsidR="00000000" w:rsidRPr="00000000">
        <w:rPr>
          <w:rFonts w:ascii="AdvOTb92eb7df.I" w:cs="AdvOTb92eb7df.I" w:eastAsia="AdvOTb92eb7df.I" w:hAnsi="AdvOTb92eb7df.I"/>
          <w:sz w:val="24"/>
          <w:szCs w:val="24"/>
          <w:rtl w:val="0"/>
        </w:rPr>
        <w:t xml:space="preserve">Physics Faculty, Taras Shevchenko National University of Kyiv, 64/13, Volodymyrska Street, 01601, Kyiv, Ukraine.</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In order to study the thermal properties of aluminum reinforced by thermally expanded graphite (GTD), differential scanning calorimetry (DSC) and thermogravimetric (TGA) were used. The GTD was dispersed in the aluminum matrix by these parameters 63-100µ, 100-160µ, and 160-200µ.  The DSC curves of this aluminum nanocomposite are different from those of alloys or other nanocomposites reinforced by carbon nanotubes. All three samples exhibit the anomalies in the DSC curves at around the same temperatures, although the sample with the smallest dispersion parameter is very different from the other samples.</w:t>
      </w:r>
    </w:p>
    <w:p w:rsidR="00000000" w:rsidDel="00000000" w:rsidP="00000000" w:rsidRDefault="00000000" w:rsidRPr="00000000" w14:paraId="00000008">
      <w:pPr>
        <w:rPr/>
      </w:pPr>
      <w:r w:rsidDel="00000000" w:rsidR="00000000" w:rsidRPr="00000000">
        <w:rPr>
          <w:rtl w:val="0"/>
        </w:rPr>
        <w:t xml:space="preserve">The TGA curves are identical in shape and almost overlapping if it weren’t for the difference in the intensity of the peaks. The sample with the lowest parameter of dispersion (63-100µ) has the least intense peaks, the low dispersion may be the cause of the mild oxidation in the sample</w:t>
      </w:r>
      <w:r w:rsidDel="00000000" w:rsidR="00000000" w:rsidRPr="00000000">
        <w:rPr>
          <w:rtl w:val="0"/>
        </w:rPr>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dvOT863180fb"/>
  <w:font w:name="AdvOTb92eb7df.I"/>
  <w:font w:name="Spectra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tral-regular.ttf"/><Relationship Id="rId2" Type="http://schemas.openxmlformats.org/officeDocument/2006/relationships/font" Target="fonts/Spectral-bold.ttf"/><Relationship Id="rId3" Type="http://schemas.openxmlformats.org/officeDocument/2006/relationships/font" Target="fonts/Spectral-italic.ttf"/><Relationship Id="rId4" Type="http://schemas.openxmlformats.org/officeDocument/2006/relationships/font" Target="fonts/Spectral-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